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F11D" w14:textId="77777777" w:rsidR="00E40CD8" w:rsidRDefault="00E40CD8" w:rsidP="00DE542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1434E98" wp14:editId="3E2B09CA">
            <wp:simplePos x="0" y="0"/>
            <wp:positionH relativeFrom="column">
              <wp:posOffset>3479800</wp:posOffset>
            </wp:positionH>
            <wp:positionV relativeFrom="page">
              <wp:posOffset>688975</wp:posOffset>
            </wp:positionV>
            <wp:extent cx="2390140" cy="1547495"/>
            <wp:effectExtent l="0" t="0" r="0" b="1905"/>
            <wp:wrapTight wrapText="left">
              <wp:wrapPolygon edited="0">
                <wp:start x="0" y="0"/>
                <wp:lineTo x="0" y="21272"/>
                <wp:lineTo x="21348" y="21272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dom 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4236BDE" wp14:editId="2DEDE330">
            <wp:simplePos x="0" y="0"/>
            <wp:positionH relativeFrom="column">
              <wp:posOffset>-177165</wp:posOffset>
            </wp:positionH>
            <wp:positionV relativeFrom="paragraph">
              <wp:posOffset>231140</wp:posOffset>
            </wp:positionV>
            <wp:extent cx="2289175" cy="902970"/>
            <wp:effectExtent l="0" t="0" r="0" b="11430"/>
            <wp:wrapTight wrapText="left">
              <wp:wrapPolygon edited="0">
                <wp:start x="0" y="0"/>
                <wp:lineTo x="0" y="21266"/>
                <wp:lineTo x="21330" y="2126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DH_Purple_resiz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0" wp14:anchorId="1A31837A" wp14:editId="788DAD64">
            <wp:simplePos x="0" y="0"/>
            <wp:positionH relativeFrom="column">
              <wp:posOffset>2452370</wp:posOffset>
            </wp:positionH>
            <wp:positionV relativeFrom="page">
              <wp:posOffset>690880</wp:posOffset>
            </wp:positionV>
            <wp:extent cx="896400" cy="1425600"/>
            <wp:effectExtent l="0" t="0" r="0" b="0"/>
            <wp:wrapTight wrapText="left">
              <wp:wrapPolygon edited="0">
                <wp:start x="0" y="0"/>
                <wp:lineTo x="0" y="21167"/>
                <wp:lineTo x="20819" y="21167"/>
                <wp:lineTo x="208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logo_Th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7E30B" w14:textId="77777777" w:rsidR="00E40CD8" w:rsidRDefault="00E40CD8" w:rsidP="00DE542C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14:paraId="628DDA10" w14:textId="77777777" w:rsidR="00DE542C" w:rsidRPr="00E32BA8" w:rsidRDefault="001A5937" w:rsidP="00DE542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FIDH - </w:t>
      </w:r>
      <w:r w:rsidR="00DE542C" w:rsidRPr="00E32BA8">
        <w:rPr>
          <w:rFonts w:ascii="Arial" w:hAnsi="Arial" w:cs="Arial"/>
          <w:b/>
          <w:sz w:val="22"/>
          <w:szCs w:val="22"/>
        </w:rPr>
        <w:t>Internatio</w:t>
      </w:r>
      <w:r>
        <w:rPr>
          <w:rFonts w:ascii="Arial" w:hAnsi="Arial" w:cs="Arial"/>
          <w:b/>
          <w:sz w:val="22"/>
          <w:szCs w:val="22"/>
        </w:rPr>
        <w:t>nal Federation for Human Rights</w:t>
      </w:r>
    </w:p>
    <w:p w14:paraId="76F37312" w14:textId="77777777" w:rsidR="00DE542C" w:rsidRPr="001A5937" w:rsidRDefault="00FF568A" w:rsidP="00DE542C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1A5937">
        <w:rPr>
          <w:rFonts w:ascii="Arial" w:hAnsi="Arial" w:cs="Arial"/>
          <w:i/>
          <w:iCs/>
          <w:sz w:val="20"/>
          <w:szCs w:val="20"/>
        </w:rPr>
        <w:t xml:space="preserve">and </w:t>
      </w:r>
      <w:r w:rsidR="00DE542C" w:rsidRPr="001A5937">
        <w:rPr>
          <w:rFonts w:ascii="Arial" w:hAnsi="Arial" w:cs="Arial"/>
          <w:i/>
          <w:iCs/>
          <w:sz w:val="20"/>
          <w:szCs w:val="20"/>
        </w:rPr>
        <w:t>its member organization</w:t>
      </w:r>
      <w:r w:rsidR="00CC4888" w:rsidRPr="001A5937">
        <w:rPr>
          <w:rFonts w:ascii="Arial" w:hAnsi="Arial" w:cs="Arial"/>
          <w:i/>
          <w:iCs/>
          <w:sz w:val="20"/>
          <w:szCs w:val="20"/>
        </w:rPr>
        <w:t>s</w:t>
      </w:r>
      <w:r w:rsidR="00DE542C" w:rsidRPr="001A5937">
        <w:rPr>
          <w:rFonts w:ascii="Arial" w:hAnsi="Arial" w:cs="Arial"/>
          <w:i/>
          <w:iCs/>
          <w:sz w:val="20"/>
          <w:szCs w:val="20"/>
        </w:rPr>
        <w:t xml:space="preserve"> in Thailand</w:t>
      </w:r>
    </w:p>
    <w:p w14:paraId="749282E1" w14:textId="77777777" w:rsidR="00DE542C" w:rsidRPr="00E32BA8" w:rsidRDefault="00DE542C" w:rsidP="00DE542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E32BA8">
        <w:rPr>
          <w:rFonts w:ascii="Arial" w:hAnsi="Arial" w:cs="Arial"/>
          <w:b/>
          <w:sz w:val="22"/>
          <w:szCs w:val="22"/>
        </w:rPr>
        <w:t>Union for Civil Liberty (UCL)</w:t>
      </w:r>
    </w:p>
    <w:p w14:paraId="33B3EFFE" w14:textId="77777777" w:rsidR="00DE542C" w:rsidRPr="001A5937" w:rsidRDefault="00CC4888" w:rsidP="00DE542C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1A5937">
        <w:rPr>
          <w:rFonts w:ascii="Arial" w:hAnsi="Arial" w:cs="Arial"/>
          <w:i/>
          <w:iCs/>
          <w:sz w:val="20"/>
          <w:szCs w:val="20"/>
        </w:rPr>
        <w:t>and</w:t>
      </w:r>
    </w:p>
    <w:p w14:paraId="190ABFAA" w14:textId="77777777" w:rsidR="00DE542C" w:rsidRPr="00E32BA8" w:rsidRDefault="00496D92" w:rsidP="00DE542C">
      <w:pPr>
        <w:jc w:val="center"/>
        <w:rPr>
          <w:rFonts w:ascii="Arial" w:hAnsi="Arial" w:cs="Arial"/>
          <w:b/>
          <w:sz w:val="22"/>
          <w:szCs w:val="22"/>
        </w:rPr>
      </w:pPr>
      <w:r w:rsidRPr="00496D92">
        <w:rPr>
          <w:rFonts w:ascii="Arial" w:hAnsi="Arial" w:cs="Arial"/>
          <w:b/>
          <w:sz w:val="22"/>
          <w:szCs w:val="22"/>
        </w:rPr>
        <w:t>Internet Law Reform Dialogue</w:t>
      </w:r>
      <w:r w:rsidR="00DE542C" w:rsidRPr="00E32BA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DE542C" w:rsidRPr="00E32BA8">
        <w:rPr>
          <w:rFonts w:ascii="Arial" w:hAnsi="Arial" w:cs="Arial"/>
          <w:b/>
          <w:sz w:val="22"/>
          <w:szCs w:val="22"/>
        </w:rPr>
        <w:t>iLaw</w:t>
      </w:r>
      <w:proofErr w:type="spellEnd"/>
      <w:r w:rsidR="00DE542C" w:rsidRPr="00E32BA8">
        <w:rPr>
          <w:rFonts w:ascii="Arial" w:hAnsi="Arial" w:cs="Arial"/>
          <w:b/>
          <w:sz w:val="22"/>
          <w:szCs w:val="22"/>
        </w:rPr>
        <w:t>)</w:t>
      </w:r>
    </w:p>
    <w:p w14:paraId="4C678ECF" w14:textId="77777777" w:rsidR="00DE542C" w:rsidRPr="00E32BA8" w:rsidRDefault="00DE542C" w:rsidP="00DE542C">
      <w:pPr>
        <w:rPr>
          <w:rFonts w:ascii="Arial" w:hAnsi="Arial" w:cs="Arial"/>
          <w:sz w:val="22"/>
          <w:szCs w:val="22"/>
        </w:rPr>
      </w:pPr>
    </w:p>
    <w:p w14:paraId="3BDE81ED" w14:textId="77777777" w:rsidR="00DE542C" w:rsidRPr="006D6554" w:rsidRDefault="00DA27BA" w:rsidP="00DE54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Joint press release</w:t>
      </w:r>
    </w:p>
    <w:p w14:paraId="622B3C0F" w14:textId="77777777" w:rsidR="00DE542C" w:rsidRPr="002611A0" w:rsidRDefault="00DE542C" w:rsidP="00DE542C">
      <w:pPr>
        <w:rPr>
          <w:rFonts w:ascii="Arial" w:hAnsi="Arial" w:cs="Arial"/>
          <w:sz w:val="22"/>
          <w:szCs w:val="22"/>
        </w:rPr>
      </w:pPr>
    </w:p>
    <w:p w14:paraId="2FABF8EC" w14:textId="77777777" w:rsidR="00A7284D" w:rsidRDefault="00C421D7" w:rsidP="001D73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Thailand: </w:t>
      </w:r>
      <w:r w:rsidRPr="00C421D7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overnment fails to address UN concerns in follow-up </w:t>
      </w:r>
      <w:r w:rsidR="0009686C">
        <w:rPr>
          <w:rFonts w:ascii="Arial" w:hAnsi="Arial" w:cs="Arial"/>
          <w:b/>
          <w:sz w:val="28"/>
          <w:szCs w:val="28"/>
        </w:rPr>
        <w:t xml:space="preserve">human rights </w:t>
      </w:r>
      <w:r>
        <w:rPr>
          <w:rFonts w:ascii="Arial" w:hAnsi="Arial" w:cs="Arial"/>
          <w:b/>
          <w:sz w:val="28"/>
          <w:szCs w:val="28"/>
        </w:rPr>
        <w:t>review</w:t>
      </w:r>
    </w:p>
    <w:p w14:paraId="737937AB" w14:textId="77777777" w:rsidR="001D73A2" w:rsidRDefault="001D73A2" w:rsidP="001D73A2">
      <w:pPr>
        <w:jc w:val="center"/>
        <w:rPr>
          <w:rFonts w:ascii="Arial" w:hAnsi="Arial" w:cs="Arial"/>
          <w:sz w:val="22"/>
          <w:szCs w:val="22"/>
        </w:rPr>
      </w:pPr>
    </w:p>
    <w:p w14:paraId="0C599555" w14:textId="77777777" w:rsidR="00B0766B" w:rsidRDefault="004765BA" w:rsidP="00066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Bangkok, </w:t>
      </w:r>
      <w:r w:rsidR="00AD4ABE">
        <w:rPr>
          <w:rFonts w:ascii="Arial" w:hAnsi="Arial" w:cs="Arial"/>
          <w:sz w:val="22"/>
          <w:szCs w:val="22"/>
        </w:rPr>
        <w:t xml:space="preserve">Geneva, </w:t>
      </w:r>
      <w:r w:rsidR="0046069D">
        <w:rPr>
          <w:rFonts w:ascii="Arial" w:hAnsi="Arial" w:cs="Arial"/>
          <w:sz w:val="22"/>
          <w:szCs w:val="22"/>
        </w:rPr>
        <w:t>Paris, 27</w:t>
      </w:r>
      <w:r w:rsidR="00DE542C" w:rsidRPr="00E32BA8">
        <w:rPr>
          <w:rFonts w:ascii="Arial" w:hAnsi="Arial" w:cs="Arial"/>
          <w:sz w:val="22"/>
          <w:szCs w:val="22"/>
        </w:rPr>
        <w:t xml:space="preserve"> </w:t>
      </w:r>
      <w:r w:rsidR="0046069D">
        <w:rPr>
          <w:rFonts w:ascii="Arial" w:hAnsi="Arial" w:cs="Arial"/>
          <w:sz w:val="22"/>
          <w:szCs w:val="22"/>
        </w:rPr>
        <w:t>April 2020</w:t>
      </w:r>
      <w:r w:rsidR="00DE542C" w:rsidRPr="00E32BA8">
        <w:rPr>
          <w:rFonts w:ascii="Arial" w:hAnsi="Arial" w:cs="Arial"/>
          <w:sz w:val="22"/>
          <w:szCs w:val="22"/>
        </w:rPr>
        <w:t xml:space="preserve">: </w:t>
      </w:r>
      <w:r w:rsidR="0020431F">
        <w:rPr>
          <w:rFonts w:ascii="Arial" w:hAnsi="Arial" w:cs="Arial"/>
          <w:sz w:val="22"/>
          <w:szCs w:val="22"/>
        </w:rPr>
        <w:t xml:space="preserve">Thailand </w:t>
      </w:r>
      <w:r w:rsidR="004651BD">
        <w:rPr>
          <w:rFonts w:ascii="Arial" w:hAnsi="Arial" w:cs="Arial"/>
          <w:sz w:val="22"/>
          <w:szCs w:val="22"/>
        </w:rPr>
        <w:t xml:space="preserve">has failed to </w:t>
      </w:r>
      <w:r w:rsidR="005C73B4">
        <w:rPr>
          <w:rFonts w:ascii="Arial" w:hAnsi="Arial" w:cs="Arial"/>
          <w:sz w:val="22"/>
          <w:szCs w:val="22"/>
        </w:rPr>
        <w:t xml:space="preserve">address concerns raised by </w:t>
      </w:r>
      <w:r w:rsidR="00066412">
        <w:rPr>
          <w:rFonts w:ascii="Arial" w:hAnsi="Arial" w:cs="Arial"/>
          <w:sz w:val="22"/>
          <w:szCs w:val="22"/>
        </w:rPr>
        <w:t xml:space="preserve">the </w:t>
      </w:r>
      <w:r w:rsidR="005C73B4">
        <w:rPr>
          <w:rFonts w:ascii="Arial" w:hAnsi="Arial" w:cs="Arial"/>
          <w:sz w:val="22"/>
          <w:szCs w:val="22"/>
        </w:rPr>
        <w:t xml:space="preserve">United Nations </w:t>
      </w:r>
      <w:r w:rsidR="003F2E5F">
        <w:rPr>
          <w:rFonts w:ascii="Arial" w:hAnsi="Arial" w:cs="Arial"/>
          <w:sz w:val="22"/>
          <w:szCs w:val="22"/>
        </w:rPr>
        <w:t xml:space="preserve">(UN) </w:t>
      </w:r>
      <w:r w:rsidR="00066412" w:rsidRPr="005C73B4">
        <w:rPr>
          <w:rFonts w:ascii="Arial" w:hAnsi="Arial" w:cs="Arial"/>
          <w:sz w:val="22"/>
          <w:szCs w:val="22"/>
        </w:rPr>
        <w:t>Human Rights Committee</w:t>
      </w:r>
      <w:r w:rsidR="00066412" w:rsidRPr="00066412">
        <w:rPr>
          <w:rFonts w:ascii="Arial" w:hAnsi="Arial" w:cs="Arial"/>
          <w:sz w:val="22"/>
          <w:szCs w:val="22"/>
        </w:rPr>
        <w:t xml:space="preserve"> (CCPR)</w:t>
      </w:r>
      <w:r w:rsidR="00066412" w:rsidRPr="005C73B4">
        <w:rPr>
          <w:rFonts w:ascii="Arial" w:hAnsi="Arial" w:cs="Arial"/>
          <w:sz w:val="22"/>
          <w:szCs w:val="22"/>
        </w:rPr>
        <w:t xml:space="preserve"> </w:t>
      </w:r>
      <w:r w:rsidR="005C73B4">
        <w:rPr>
          <w:rFonts w:ascii="Arial" w:hAnsi="Arial" w:cs="Arial"/>
          <w:sz w:val="22"/>
          <w:szCs w:val="22"/>
        </w:rPr>
        <w:t>with regard to</w:t>
      </w:r>
      <w:r w:rsidR="00B0766B">
        <w:rPr>
          <w:rFonts w:ascii="Arial" w:hAnsi="Arial" w:cs="Arial"/>
          <w:sz w:val="22"/>
          <w:szCs w:val="22"/>
        </w:rPr>
        <w:t xml:space="preserve"> </w:t>
      </w:r>
      <w:r w:rsidR="005C73B4">
        <w:rPr>
          <w:rFonts w:ascii="Arial" w:hAnsi="Arial" w:cs="Arial"/>
          <w:sz w:val="22"/>
          <w:szCs w:val="22"/>
        </w:rPr>
        <w:t xml:space="preserve">key </w:t>
      </w:r>
      <w:r w:rsidR="00B0766B">
        <w:rPr>
          <w:rFonts w:ascii="Arial" w:hAnsi="Arial" w:cs="Arial"/>
          <w:sz w:val="22"/>
          <w:szCs w:val="22"/>
        </w:rPr>
        <w:t>civil and political</w:t>
      </w:r>
      <w:r w:rsidR="00024363">
        <w:rPr>
          <w:rFonts w:ascii="Arial" w:hAnsi="Arial" w:cs="Arial"/>
          <w:sz w:val="22"/>
          <w:szCs w:val="22"/>
        </w:rPr>
        <w:t xml:space="preserve"> rights</w:t>
      </w:r>
      <w:r w:rsidR="00220EB8">
        <w:rPr>
          <w:rFonts w:ascii="Arial" w:hAnsi="Arial" w:cs="Arial"/>
          <w:sz w:val="22"/>
          <w:szCs w:val="22"/>
        </w:rPr>
        <w:t xml:space="preserve">, </w:t>
      </w:r>
      <w:r w:rsidR="00222078">
        <w:rPr>
          <w:rFonts w:ascii="Arial" w:hAnsi="Arial" w:cs="Arial"/>
          <w:sz w:val="22"/>
          <w:szCs w:val="22"/>
        </w:rPr>
        <w:t>FIDH and</w:t>
      </w:r>
      <w:r w:rsidR="00DE542C">
        <w:rPr>
          <w:rFonts w:ascii="Arial" w:hAnsi="Arial" w:cs="Arial"/>
          <w:sz w:val="22"/>
          <w:szCs w:val="22"/>
        </w:rPr>
        <w:t xml:space="preserve"> its member organization</w:t>
      </w:r>
      <w:r w:rsidR="00222078" w:rsidRPr="008B29E7">
        <w:rPr>
          <w:rFonts w:ascii="Arial" w:hAnsi="Arial" w:cs="Arial"/>
          <w:sz w:val="22"/>
          <w:szCs w:val="22"/>
        </w:rPr>
        <w:t>s</w:t>
      </w:r>
      <w:r w:rsidR="00DE542C" w:rsidRPr="008B29E7">
        <w:rPr>
          <w:rFonts w:ascii="Arial" w:hAnsi="Arial" w:cs="Arial"/>
          <w:sz w:val="22"/>
          <w:szCs w:val="22"/>
        </w:rPr>
        <w:t xml:space="preserve"> Union for Civil Liberty (UCL)</w:t>
      </w:r>
      <w:r w:rsidR="00222078" w:rsidRPr="008B29E7">
        <w:rPr>
          <w:rFonts w:ascii="Arial" w:hAnsi="Arial" w:cs="Arial"/>
          <w:sz w:val="22"/>
          <w:szCs w:val="22"/>
        </w:rPr>
        <w:t xml:space="preserve"> and </w:t>
      </w:r>
      <w:r w:rsidR="00496D92" w:rsidRPr="008B29E7">
        <w:rPr>
          <w:rFonts w:ascii="Arial" w:hAnsi="Arial" w:cs="Arial"/>
          <w:sz w:val="22"/>
          <w:szCs w:val="22"/>
        </w:rPr>
        <w:t>Internet Law Reform Dialogue</w:t>
      </w:r>
      <w:r w:rsidR="00DE542C" w:rsidRPr="008B29E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E542C" w:rsidRPr="008B29E7">
        <w:rPr>
          <w:rFonts w:ascii="Arial" w:hAnsi="Arial" w:cs="Arial"/>
          <w:sz w:val="22"/>
          <w:szCs w:val="22"/>
        </w:rPr>
        <w:t>iLaw</w:t>
      </w:r>
      <w:proofErr w:type="spellEnd"/>
      <w:r w:rsidR="00DE542C" w:rsidRPr="008B29E7">
        <w:rPr>
          <w:rFonts w:ascii="Arial" w:hAnsi="Arial" w:cs="Arial"/>
          <w:sz w:val="22"/>
          <w:szCs w:val="22"/>
        </w:rPr>
        <w:t>) said today.</w:t>
      </w:r>
    </w:p>
    <w:p w14:paraId="63C29B3E" w14:textId="77777777" w:rsidR="00B0766B" w:rsidRDefault="00B0766B" w:rsidP="00DE542C">
      <w:pPr>
        <w:jc w:val="both"/>
        <w:rPr>
          <w:rFonts w:ascii="Arial" w:hAnsi="Arial" w:cs="Arial"/>
          <w:sz w:val="22"/>
          <w:szCs w:val="22"/>
        </w:rPr>
      </w:pPr>
    </w:p>
    <w:p w14:paraId="3BCA90A9" w14:textId="2CF1634F" w:rsidR="003C1DA1" w:rsidRDefault="0023430C" w:rsidP="00B56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FIDH, </w:t>
      </w:r>
      <w:r w:rsidR="006033BE">
        <w:rPr>
          <w:rFonts w:ascii="Arial" w:hAnsi="Arial" w:cs="Arial"/>
          <w:sz w:val="22"/>
          <w:szCs w:val="22"/>
        </w:rPr>
        <w:t xml:space="preserve">UCL, and </w:t>
      </w:r>
      <w:bookmarkStart w:id="0" w:name="_GoBack"/>
      <w:bookmarkEnd w:id="0"/>
      <w:proofErr w:type="spellStart"/>
      <w:r w:rsidR="006033BE" w:rsidRPr="00BA68CA">
        <w:rPr>
          <w:rFonts w:ascii="Arial" w:hAnsi="Arial" w:cs="Arial"/>
          <w:sz w:val="22"/>
          <w:szCs w:val="22"/>
        </w:rPr>
        <w:t>iLaw</w:t>
      </w:r>
      <w:proofErr w:type="spellEnd"/>
      <w:r w:rsidRPr="00BA68CA">
        <w:rPr>
          <w:rFonts w:ascii="Arial" w:hAnsi="Arial" w:cs="Arial"/>
          <w:sz w:val="22"/>
          <w:szCs w:val="22"/>
        </w:rPr>
        <w:t xml:space="preserve"> </w:t>
      </w:r>
      <w:r w:rsidR="005C73B4" w:rsidRPr="00BA68CA">
        <w:rPr>
          <w:rFonts w:ascii="Arial" w:hAnsi="Arial" w:cs="Arial"/>
          <w:sz w:val="22"/>
          <w:szCs w:val="22"/>
        </w:rPr>
        <w:t xml:space="preserve">today </w:t>
      </w:r>
      <w:hyperlink r:id="rId10" w:history="1">
        <w:r w:rsidR="003C1DA1" w:rsidRPr="00BA68CA">
          <w:rPr>
            <w:rStyle w:val="Hyperlink"/>
            <w:rFonts w:ascii="Arial" w:hAnsi="Arial" w:cs="Arial"/>
            <w:sz w:val="22"/>
            <w:szCs w:val="22"/>
          </w:rPr>
          <w:t xml:space="preserve">submitted a </w:t>
        </w:r>
        <w:r w:rsidR="005C73B4" w:rsidRPr="00BA68CA">
          <w:rPr>
            <w:rStyle w:val="Hyperlink"/>
            <w:rFonts w:ascii="Arial" w:hAnsi="Arial" w:cs="Arial"/>
            <w:sz w:val="22"/>
            <w:szCs w:val="22"/>
          </w:rPr>
          <w:t xml:space="preserve">second </w:t>
        </w:r>
        <w:r w:rsidR="003C1DA1" w:rsidRPr="00BA68CA">
          <w:rPr>
            <w:rStyle w:val="Hyperlink"/>
            <w:rFonts w:ascii="Arial" w:hAnsi="Arial" w:cs="Arial"/>
            <w:sz w:val="22"/>
            <w:szCs w:val="22"/>
          </w:rPr>
          <w:t xml:space="preserve">follow-up </w:t>
        </w:r>
        <w:r w:rsidR="00F5582A" w:rsidRPr="00BA68CA">
          <w:rPr>
            <w:rStyle w:val="Hyperlink"/>
            <w:rFonts w:ascii="Arial" w:hAnsi="Arial" w:cs="Arial"/>
            <w:sz w:val="22"/>
            <w:szCs w:val="22"/>
          </w:rPr>
          <w:t xml:space="preserve">shadow </w:t>
        </w:r>
        <w:r w:rsidR="003C1DA1" w:rsidRPr="00BA68CA">
          <w:rPr>
            <w:rStyle w:val="Hyperlink"/>
            <w:rFonts w:ascii="Arial" w:hAnsi="Arial" w:cs="Arial"/>
            <w:sz w:val="22"/>
            <w:szCs w:val="22"/>
          </w:rPr>
          <w:t>report</w:t>
        </w:r>
      </w:hyperlink>
      <w:r w:rsidR="003C1DA1" w:rsidRPr="00BA68CA">
        <w:rPr>
          <w:rFonts w:ascii="Arial" w:hAnsi="Arial" w:cs="Arial"/>
          <w:sz w:val="22"/>
          <w:szCs w:val="22"/>
        </w:rPr>
        <w:t xml:space="preserve"> to the</w:t>
      </w:r>
      <w:r w:rsidR="003C1DA1" w:rsidRPr="005C73B4">
        <w:rPr>
          <w:rFonts w:ascii="Arial" w:hAnsi="Arial" w:cs="Arial"/>
          <w:sz w:val="22"/>
          <w:szCs w:val="22"/>
        </w:rPr>
        <w:t xml:space="preserve"> </w:t>
      </w:r>
      <w:r w:rsidR="003F2E5F">
        <w:rPr>
          <w:rFonts w:ascii="Arial" w:hAnsi="Arial" w:cs="Arial"/>
          <w:sz w:val="22"/>
          <w:szCs w:val="22"/>
        </w:rPr>
        <w:t>CCPR</w:t>
      </w:r>
      <w:r w:rsidR="00066412">
        <w:rPr>
          <w:rFonts w:ascii="Arial" w:hAnsi="Arial" w:cs="Arial"/>
          <w:sz w:val="22"/>
          <w:szCs w:val="22"/>
        </w:rPr>
        <w:t xml:space="preserve">, </w:t>
      </w:r>
      <w:r w:rsidR="00F5582A" w:rsidRPr="00BB59E5">
        <w:rPr>
          <w:rFonts w:ascii="Arial" w:hAnsi="Arial" w:cs="Arial"/>
          <w:sz w:val="22"/>
          <w:szCs w:val="22"/>
        </w:rPr>
        <w:t>i</w:t>
      </w:r>
      <w:r w:rsidR="00F5582A">
        <w:rPr>
          <w:rFonts w:ascii="Arial" w:hAnsi="Arial" w:cs="Arial"/>
          <w:sz w:val="22"/>
          <w:szCs w:val="22"/>
        </w:rPr>
        <w:t>n which they detail</w:t>
      </w:r>
      <w:r w:rsidR="00024363">
        <w:rPr>
          <w:rFonts w:ascii="Arial" w:hAnsi="Arial" w:cs="Arial"/>
          <w:sz w:val="22"/>
          <w:szCs w:val="22"/>
        </w:rPr>
        <w:t>ed</w:t>
      </w:r>
      <w:r w:rsidR="00F5582A">
        <w:rPr>
          <w:rFonts w:ascii="Arial" w:hAnsi="Arial" w:cs="Arial"/>
          <w:sz w:val="22"/>
          <w:szCs w:val="22"/>
        </w:rPr>
        <w:t xml:space="preserve"> the Thai government’s </w:t>
      </w:r>
      <w:r w:rsidR="004357A9">
        <w:rPr>
          <w:rFonts w:ascii="Arial" w:hAnsi="Arial" w:cs="Arial"/>
          <w:sz w:val="22"/>
          <w:szCs w:val="22"/>
        </w:rPr>
        <w:t xml:space="preserve">ongoing </w:t>
      </w:r>
      <w:r w:rsidR="00F5582A">
        <w:rPr>
          <w:rFonts w:ascii="Arial" w:hAnsi="Arial" w:cs="Arial"/>
          <w:sz w:val="22"/>
          <w:szCs w:val="22"/>
        </w:rPr>
        <w:t xml:space="preserve">failure </w:t>
      </w:r>
      <w:r w:rsidR="006F4AC3" w:rsidRPr="006F4AC3">
        <w:rPr>
          <w:rFonts w:ascii="Arial" w:hAnsi="Arial" w:cs="Arial"/>
          <w:sz w:val="22"/>
          <w:szCs w:val="22"/>
        </w:rPr>
        <w:t xml:space="preserve">to </w:t>
      </w:r>
      <w:r w:rsidR="006F4AC3">
        <w:rPr>
          <w:rFonts w:ascii="Arial" w:hAnsi="Arial" w:cs="Arial"/>
          <w:sz w:val="22"/>
          <w:szCs w:val="22"/>
        </w:rPr>
        <w:t xml:space="preserve">implement the </w:t>
      </w:r>
      <w:hyperlink r:id="rId11" w:history="1">
        <w:r w:rsidR="006F4AC3" w:rsidRPr="001E1B10">
          <w:rPr>
            <w:rStyle w:val="Hyperlink"/>
            <w:rFonts w:ascii="Arial" w:hAnsi="Arial" w:cs="Arial"/>
            <w:sz w:val="22"/>
            <w:szCs w:val="22"/>
          </w:rPr>
          <w:t xml:space="preserve">recommendations made </w:t>
        </w:r>
        <w:r w:rsidR="00937687" w:rsidRPr="001E1B10">
          <w:rPr>
            <w:rStyle w:val="Hyperlink"/>
            <w:rFonts w:ascii="Arial" w:hAnsi="Arial" w:cs="Arial"/>
            <w:sz w:val="22"/>
            <w:szCs w:val="22"/>
          </w:rPr>
          <w:t>by the CCPR</w:t>
        </w:r>
        <w:r w:rsidR="005C73B4" w:rsidRPr="001E1B10">
          <w:rPr>
            <w:rStyle w:val="Hyperlink"/>
            <w:rFonts w:ascii="Arial" w:hAnsi="Arial" w:cs="Arial"/>
            <w:sz w:val="22"/>
            <w:szCs w:val="22"/>
          </w:rPr>
          <w:t xml:space="preserve"> in March 2017</w:t>
        </w:r>
      </w:hyperlink>
      <w:r w:rsidR="00CD748E" w:rsidRPr="001E1B10">
        <w:rPr>
          <w:rFonts w:ascii="Arial" w:hAnsi="Arial" w:cs="Arial"/>
          <w:sz w:val="22"/>
          <w:szCs w:val="22"/>
        </w:rPr>
        <w:t xml:space="preserve"> on the</w:t>
      </w:r>
      <w:r w:rsidR="00CD748E">
        <w:rPr>
          <w:rFonts w:ascii="Arial" w:hAnsi="Arial" w:cs="Arial"/>
          <w:sz w:val="22"/>
          <w:szCs w:val="22"/>
        </w:rPr>
        <w:t xml:space="preserve"> following</w:t>
      </w:r>
      <w:r w:rsidR="00CD748E" w:rsidRPr="006F4AC3">
        <w:rPr>
          <w:rFonts w:ascii="Arial" w:hAnsi="Arial" w:cs="Arial"/>
          <w:sz w:val="22"/>
          <w:szCs w:val="22"/>
        </w:rPr>
        <w:t xml:space="preserve"> priority issues</w:t>
      </w:r>
      <w:r w:rsidR="006F4AC3">
        <w:rPr>
          <w:rFonts w:ascii="Arial" w:hAnsi="Arial" w:cs="Arial"/>
          <w:sz w:val="22"/>
          <w:szCs w:val="22"/>
        </w:rPr>
        <w:t xml:space="preserve">: </w:t>
      </w:r>
      <w:r w:rsidR="006F4AC3" w:rsidRPr="006F4AC3">
        <w:rPr>
          <w:rFonts w:ascii="Arial" w:hAnsi="Arial" w:cs="Arial"/>
          <w:sz w:val="22"/>
          <w:szCs w:val="22"/>
        </w:rPr>
        <w:t>1) The constitution and the country’s legal framework; 2) Extrajudicial killings, enforced disappearances, and torture; and 3) Conditions of detention.</w:t>
      </w:r>
      <w:r w:rsidR="00A5344B">
        <w:rPr>
          <w:rFonts w:ascii="Arial" w:hAnsi="Arial" w:cs="Arial"/>
          <w:sz w:val="22"/>
          <w:szCs w:val="22"/>
        </w:rPr>
        <w:t xml:space="preserve"> FIDH, UCL, and </w:t>
      </w:r>
      <w:proofErr w:type="spellStart"/>
      <w:r w:rsidR="00A5344B" w:rsidRPr="00B64F94">
        <w:rPr>
          <w:rFonts w:ascii="Arial" w:hAnsi="Arial" w:cs="Arial"/>
          <w:sz w:val="22"/>
          <w:szCs w:val="22"/>
        </w:rPr>
        <w:t>iLaw</w:t>
      </w:r>
      <w:proofErr w:type="spellEnd"/>
      <w:r w:rsidR="00A5344B" w:rsidRPr="00B64F94">
        <w:rPr>
          <w:rFonts w:ascii="Arial" w:hAnsi="Arial" w:cs="Arial"/>
          <w:sz w:val="22"/>
          <w:szCs w:val="22"/>
        </w:rPr>
        <w:t xml:space="preserve"> </w:t>
      </w:r>
      <w:r w:rsidR="003F2E5F" w:rsidRPr="00B64F94">
        <w:rPr>
          <w:rFonts w:ascii="Arial" w:hAnsi="Arial" w:cs="Arial"/>
          <w:sz w:val="22"/>
          <w:szCs w:val="22"/>
        </w:rPr>
        <w:t>had issued</w:t>
      </w:r>
      <w:r w:rsidR="00A5344B" w:rsidRPr="00B64F94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5344B" w:rsidRPr="00B64F94">
          <w:rPr>
            <w:rStyle w:val="Hyperlink"/>
            <w:rFonts w:ascii="Arial" w:hAnsi="Arial" w:cs="Arial"/>
            <w:sz w:val="22"/>
            <w:szCs w:val="22"/>
          </w:rPr>
          <w:t>their first follow-up shadow report</w:t>
        </w:r>
      </w:hyperlink>
      <w:r w:rsidR="00A5344B" w:rsidRPr="00B64F94">
        <w:rPr>
          <w:rFonts w:ascii="Arial" w:hAnsi="Arial" w:cs="Arial"/>
          <w:sz w:val="22"/>
          <w:szCs w:val="22"/>
        </w:rPr>
        <w:t xml:space="preserve"> in August</w:t>
      </w:r>
      <w:r w:rsidR="00A5344B">
        <w:rPr>
          <w:rFonts w:ascii="Arial" w:hAnsi="Arial" w:cs="Arial"/>
          <w:sz w:val="22"/>
          <w:szCs w:val="22"/>
        </w:rPr>
        <w:t xml:space="preserve"> 2018.</w:t>
      </w:r>
    </w:p>
    <w:p w14:paraId="651C75E3" w14:textId="77777777" w:rsidR="00B0766B" w:rsidRDefault="00B0766B" w:rsidP="00DE542C">
      <w:pPr>
        <w:jc w:val="both"/>
        <w:rPr>
          <w:rFonts w:ascii="Arial" w:hAnsi="Arial" w:cs="Arial"/>
          <w:sz w:val="22"/>
          <w:szCs w:val="22"/>
        </w:rPr>
      </w:pPr>
    </w:p>
    <w:p w14:paraId="0FE38525" w14:textId="77777777" w:rsidR="007B5472" w:rsidRDefault="00B0766B" w:rsidP="00066412">
      <w:pPr>
        <w:jc w:val="both"/>
        <w:rPr>
          <w:rFonts w:ascii="Arial" w:hAnsi="Arial" w:cs="Arial"/>
          <w:sz w:val="22"/>
          <w:szCs w:val="22"/>
        </w:rPr>
      </w:pPr>
      <w:r w:rsidRPr="00E32BA8">
        <w:rPr>
          <w:rFonts w:ascii="Arial" w:hAnsi="Arial" w:cs="Arial"/>
          <w:b/>
          <w:i/>
          <w:sz w:val="22"/>
          <w:szCs w:val="22"/>
        </w:rPr>
        <w:t>“</w:t>
      </w:r>
      <w:r w:rsidR="004F4EDF">
        <w:rPr>
          <w:rFonts w:ascii="Arial" w:hAnsi="Arial" w:cs="Arial"/>
          <w:b/>
          <w:i/>
          <w:sz w:val="22"/>
          <w:szCs w:val="22"/>
        </w:rPr>
        <w:t>Thai</w:t>
      </w:r>
      <w:r w:rsidR="00066412">
        <w:rPr>
          <w:rFonts w:ascii="Arial" w:hAnsi="Arial" w:cs="Arial"/>
          <w:b/>
          <w:i/>
          <w:sz w:val="22"/>
          <w:szCs w:val="22"/>
        </w:rPr>
        <w:t>land’s</w:t>
      </w:r>
      <w:r w:rsidR="004F4EDF">
        <w:rPr>
          <w:rFonts w:ascii="Arial" w:hAnsi="Arial" w:cs="Arial"/>
          <w:b/>
          <w:i/>
          <w:sz w:val="22"/>
          <w:szCs w:val="22"/>
        </w:rPr>
        <w:t xml:space="preserve"> government has once again shown that it is unwilling or unable to address </w:t>
      </w:r>
      <w:r w:rsidR="004F4EDF" w:rsidRPr="003F2E5F">
        <w:rPr>
          <w:rFonts w:ascii="Arial" w:hAnsi="Arial" w:cs="Arial"/>
          <w:b/>
          <w:i/>
          <w:sz w:val="22"/>
          <w:szCs w:val="22"/>
        </w:rPr>
        <w:t xml:space="preserve">the </w:t>
      </w:r>
      <w:r w:rsidR="003F2E5F" w:rsidRPr="003F2E5F">
        <w:rPr>
          <w:rFonts w:ascii="Arial" w:hAnsi="Arial" w:cs="Arial"/>
          <w:b/>
          <w:i/>
          <w:sz w:val="22"/>
          <w:szCs w:val="22"/>
        </w:rPr>
        <w:t>UN</w:t>
      </w:r>
      <w:r w:rsidR="00066412" w:rsidRPr="003F2E5F">
        <w:rPr>
          <w:rFonts w:ascii="Arial" w:hAnsi="Arial" w:cs="Arial"/>
          <w:b/>
          <w:i/>
          <w:sz w:val="22"/>
          <w:szCs w:val="22"/>
        </w:rPr>
        <w:t>’</w:t>
      </w:r>
      <w:r w:rsidR="003F2E5F" w:rsidRPr="003F2E5F">
        <w:rPr>
          <w:rFonts w:ascii="Arial" w:hAnsi="Arial" w:cs="Arial"/>
          <w:b/>
          <w:i/>
          <w:sz w:val="22"/>
          <w:szCs w:val="22"/>
        </w:rPr>
        <w:t>s</w:t>
      </w:r>
      <w:r w:rsidR="00066412" w:rsidRPr="003F2E5F">
        <w:rPr>
          <w:rFonts w:ascii="Arial" w:hAnsi="Arial" w:cs="Arial"/>
          <w:b/>
          <w:i/>
          <w:sz w:val="22"/>
          <w:szCs w:val="22"/>
        </w:rPr>
        <w:t xml:space="preserve"> </w:t>
      </w:r>
      <w:r w:rsidR="004F4EDF" w:rsidRPr="003F2E5F">
        <w:rPr>
          <w:rFonts w:ascii="Arial" w:hAnsi="Arial" w:cs="Arial"/>
          <w:b/>
          <w:i/>
          <w:sz w:val="22"/>
          <w:szCs w:val="22"/>
        </w:rPr>
        <w:t>human</w:t>
      </w:r>
      <w:r w:rsidR="004F4EDF">
        <w:rPr>
          <w:rFonts w:ascii="Arial" w:hAnsi="Arial" w:cs="Arial"/>
          <w:b/>
          <w:i/>
          <w:sz w:val="22"/>
          <w:szCs w:val="22"/>
        </w:rPr>
        <w:t xml:space="preserve"> rights concerns. </w:t>
      </w:r>
      <w:r w:rsidR="002A2265">
        <w:rPr>
          <w:rFonts w:ascii="Arial" w:hAnsi="Arial" w:cs="Arial"/>
          <w:b/>
          <w:i/>
          <w:sz w:val="22"/>
          <w:szCs w:val="22"/>
        </w:rPr>
        <w:t xml:space="preserve">The UN should </w:t>
      </w:r>
      <w:r w:rsidR="00066412">
        <w:rPr>
          <w:rFonts w:ascii="Arial" w:hAnsi="Arial" w:cs="Arial"/>
          <w:b/>
          <w:i/>
          <w:sz w:val="22"/>
          <w:szCs w:val="22"/>
        </w:rPr>
        <w:t xml:space="preserve">acknowledge </w:t>
      </w:r>
      <w:r w:rsidR="002A2265">
        <w:rPr>
          <w:rFonts w:ascii="Arial" w:hAnsi="Arial" w:cs="Arial"/>
          <w:b/>
          <w:i/>
          <w:sz w:val="22"/>
          <w:szCs w:val="22"/>
        </w:rPr>
        <w:t xml:space="preserve">the Thai government’s ongoing failure to uphold </w:t>
      </w:r>
      <w:r w:rsidR="00C70637">
        <w:rPr>
          <w:rFonts w:ascii="Arial" w:hAnsi="Arial" w:cs="Arial"/>
          <w:b/>
          <w:i/>
          <w:sz w:val="22"/>
          <w:szCs w:val="22"/>
        </w:rPr>
        <w:t>civil and political rights</w:t>
      </w:r>
      <w:r w:rsidR="002A2265">
        <w:rPr>
          <w:rFonts w:ascii="Arial" w:hAnsi="Arial" w:cs="Arial"/>
          <w:b/>
          <w:i/>
          <w:sz w:val="22"/>
          <w:szCs w:val="22"/>
        </w:rPr>
        <w:t xml:space="preserve"> and continue to make recommendations for improvement</w:t>
      </w:r>
      <w:r w:rsidR="00C70637">
        <w:rPr>
          <w:rFonts w:ascii="Arial" w:hAnsi="Arial" w:cs="Arial"/>
          <w:b/>
          <w:i/>
          <w:sz w:val="22"/>
          <w:szCs w:val="22"/>
        </w:rPr>
        <w:t>,</w:t>
      </w:r>
      <w:r w:rsidRPr="00E32BA8">
        <w:rPr>
          <w:rFonts w:ascii="Arial" w:hAnsi="Arial" w:cs="Arial"/>
          <w:b/>
          <w:i/>
          <w:sz w:val="22"/>
          <w:szCs w:val="22"/>
        </w:rPr>
        <w:t>”</w:t>
      </w:r>
      <w:r w:rsidRPr="00E32BA8">
        <w:rPr>
          <w:rFonts w:ascii="Arial" w:hAnsi="Arial" w:cs="Arial"/>
          <w:sz w:val="22"/>
          <w:szCs w:val="22"/>
        </w:rPr>
        <w:t xml:space="preserve"> said FIDH</w:t>
      </w:r>
      <w:r>
        <w:rPr>
          <w:rFonts w:ascii="Arial" w:hAnsi="Arial" w:cs="Arial"/>
          <w:sz w:val="22"/>
          <w:szCs w:val="22"/>
        </w:rPr>
        <w:t xml:space="preserve"> </w:t>
      </w:r>
      <w:r w:rsidR="001D7978">
        <w:rPr>
          <w:rFonts w:ascii="Arial" w:hAnsi="Arial" w:cs="Arial"/>
          <w:sz w:val="22"/>
          <w:szCs w:val="22"/>
        </w:rPr>
        <w:t>Vice-President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978">
        <w:rPr>
          <w:rFonts w:ascii="Arial" w:hAnsi="Arial" w:cs="Arial"/>
          <w:sz w:val="22"/>
          <w:szCs w:val="22"/>
        </w:rPr>
        <w:t>Guissou</w:t>
      </w:r>
      <w:proofErr w:type="spellEnd"/>
      <w:r w:rsidR="001D79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978">
        <w:rPr>
          <w:rFonts w:ascii="Arial" w:hAnsi="Arial" w:cs="Arial"/>
          <w:sz w:val="22"/>
          <w:szCs w:val="22"/>
        </w:rPr>
        <w:t>Jahangiri</w:t>
      </w:r>
      <w:proofErr w:type="spellEnd"/>
      <w:r w:rsidRPr="00E32BA8">
        <w:rPr>
          <w:rFonts w:ascii="Arial" w:hAnsi="Arial" w:cs="Arial"/>
          <w:sz w:val="22"/>
          <w:szCs w:val="22"/>
        </w:rPr>
        <w:t>.</w:t>
      </w:r>
    </w:p>
    <w:p w14:paraId="2677A3B3" w14:textId="77777777" w:rsidR="00B0766B" w:rsidRDefault="00B0766B" w:rsidP="00DE542C">
      <w:pPr>
        <w:jc w:val="both"/>
        <w:rPr>
          <w:rFonts w:ascii="Arial" w:hAnsi="Arial" w:cs="Arial"/>
          <w:sz w:val="22"/>
          <w:szCs w:val="22"/>
        </w:rPr>
      </w:pPr>
    </w:p>
    <w:p w14:paraId="56CFD9E6" w14:textId="77777777" w:rsidR="003C1DA1" w:rsidRDefault="003C1DA1" w:rsidP="003C1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CCPR </w:t>
      </w:r>
      <w:r w:rsidR="005C73B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="005C73B4">
        <w:rPr>
          <w:rFonts w:ascii="Arial" w:hAnsi="Arial" w:cs="Arial"/>
          <w:sz w:val="22"/>
          <w:szCs w:val="22"/>
        </w:rPr>
        <w:t>conduct</w:t>
      </w:r>
      <w:r>
        <w:rPr>
          <w:rFonts w:ascii="Arial" w:hAnsi="Arial" w:cs="Arial"/>
          <w:sz w:val="22"/>
          <w:szCs w:val="22"/>
        </w:rPr>
        <w:t xml:space="preserve"> </w:t>
      </w:r>
      <w:r w:rsidR="007B1511">
        <w:rPr>
          <w:rFonts w:ascii="Arial" w:hAnsi="Arial" w:cs="Arial"/>
          <w:sz w:val="22"/>
          <w:szCs w:val="22"/>
        </w:rPr>
        <w:t>the</w:t>
      </w:r>
      <w:r w:rsidR="000A3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follow-up </w:t>
      </w:r>
      <w:r w:rsidR="005C73B4">
        <w:rPr>
          <w:rFonts w:ascii="Arial" w:hAnsi="Arial" w:cs="Arial"/>
          <w:sz w:val="22"/>
          <w:szCs w:val="22"/>
        </w:rPr>
        <w:t xml:space="preserve">review of Thailand during its </w:t>
      </w:r>
      <w:r w:rsidR="005C73B4" w:rsidRPr="005C73B4">
        <w:rPr>
          <w:rFonts w:ascii="Arial" w:hAnsi="Arial" w:cs="Arial"/>
          <w:sz w:val="22"/>
          <w:szCs w:val="22"/>
        </w:rPr>
        <w:t xml:space="preserve">129th session, which </w:t>
      </w:r>
      <w:r w:rsidR="005C73B4">
        <w:rPr>
          <w:rFonts w:ascii="Arial" w:hAnsi="Arial" w:cs="Arial"/>
          <w:sz w:val="22"/>
          <w:szCs w:val="22"/>
        </w:rPr>
        <w:t>is set to</w:t>
      </w:r>
      <w:r w:rsidR="005C73B4" w:rsidRPr="005C73B4">
        <w:rPr>
          <w:rFonts w:ascii="Arial" w:hAnsi="Arial" w:cs="Arial"/>
          <w:sz w:val="22"/>
          <w:szCs w:val="22"/>
        </w:rPr>
        <w:t xml:space="preserve"> be held from 29 June to 24 July 2020 </w:t>
      </w:r>
      <w:r w:rsidR="007B1511">
        <w:rPr>
          <w:rFonts w:ascii="Arial" w:hAnsi="Arial" w:cs="Arial"/>
          <w:sz w:val="22"/>
          <w:szCs w:val="22"/>
        </w:rPr>
        <w:t>in Geneva, Switzerland.</w:t>
      </w:r>
    </w:p>
    <w:p w14:paraId="7EE73E84" w14:textId="77777777" w:rsidR="00434878" w:rsidRDefault="00434878" w:rsidP="003C1DA1">
      <w:pPr>
        <w:jc w:val="both"/>
        <w:rPr>
          <w:rFonts w:ascii="Arial" w:hAnsi="Arial" w:cs="Arial"/>
          <w:sz w:val="22"/>
          <w:szCs w:val="22"/>
        </w:rPr>
      </w:pPr>
    </w:p>
    <w:p w14:paraId="085658B9" w14:textId="172B9271" w:rsidR="00434878" w:rsidRDefault="00434878" w:rsidP="00EE5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regard to the </w:t>
      </w:r>
      <w:r w:rsidR="001251A5">
        <w:rPr>
          <w:rFonts w:ascii="Arial" w:hAnsi="Arial" w:cs="Arial"/>
          <w:sz w:val="22"/>
          <w:szCs w:val="22"/>
        </w:rPr>
        <w:t>country’s</w:t>
      </w:r>
      <w:r>
        <w:rPr>
          <w:rFonts w:ascii="Arial" w:hAnsi="Arial" w:cs="Arial"/>
          <w:sz w:val="22"/>
          <w:szCs w:val="22"/>
        </w:rPr>
        <w:t xml:space="preserve"> legal framework, </w:t>
      </w:r>
      <w:r w:rsidR="007B1511" w:rsidRPr="007B1511">
        <w:rPr>
          <w:rFonts w:ascii="Arial" w:hAnsi="Arial" w:cs="Arial"/>
          <w:sz w:val="22"/>
          <w:szCs w:val="22"/>
        </w:rPr>
        <w:t xml:space="preserve">the </w:t>
      </w:r>
      <w:r w:rsidR="007B1511">
        <w:rPr>
          <w:rFonts w:ascii="Arial" w:hAnsi="Arial" w:cs="Arial"/>
          <w:sz w:val="22"/>
          <w:szCs w:val="22"/>
        </w:rPr>
        <w:t>constitution</w:t>
      </w:r>
      <w:r w:rsidR="007B1511" w:rsidRPr="007B1511">
        <w:rPr>
          <w:rFonts w:ascii="Arial" w:hAnsi="Arial" w:cs="Arial"/>
          <w:sz w:val="22"/>
          <w:szCs w:val="22"/>
        </w:rPr>
        <w:t xml:space="preserve"> promulgated in April 2017 contains</w:t>
      </w:r>
      <w:r w:rsidR="007B1511">
        <w:rPr>
          <w:rFonts w:ascii="Arial" w:hAnsi="Arial" w:cs="Arial"/>
          <w:sz w:val="22"/>
          <w:szCs w:val="22"/>
        </w:rPr>
        <w:t xml:space="preserve"> provisions that allowed </w:t>
      </w:r>
      <w:r w:rsidR="007B1511" w:rsidRPr="007B1511">
        <w:rPr>
          <w:rFonts w:ascii="Arial" w:hAnsi="Arial" w:cs="Arial"/>
          <w:sz w:val="22"/>
          <w:szCs w:val="22"/>
        </w:rPr>
        <w:t xml:space="preserve">repressive decrees </w:t>
      </w:r>
      <w:r w:rsidR="007B1511">
        <w:rPr>
          <w:rFonts w:ascii="Arial" w:hAnsi="Arial" w:cs="Arial"/>
          <w:sz w:val="22"/>
          <w:szCs w:val="22"/>
        </w:rPr>
        <w:t xml:space="preserve">issued </w:t>
      </w:r>
      <w:r w:rsidR="003F2E5F">
        <w:rPr>
          <w:rFonts w:ascii="Arial" w:hAnsi="Arial" w:cs="Arial"/>
          <w:sz w:val="22"/>
          <w:szCs w:val="22"/>
        </w:rPr>
        <w:t xml:space="preserve">by </w:t>
      </w:r>
      <w:r w:rsidR="003F2E5F" w:rsidRPr="007B1511">
        <w:rPr>
          <w:rFonts w:ascii="Arial" w:hAnsi="Arial" w:cs="Arial"/>
          <w:sz w:val="22"/>
          <w:szCs w:val="22"/>
        </w:rPr>
        <w:t xml:space="preserve">the military junta </w:t>
      </w:r>
      <w:r w:rsidR="007B1511" w:rsidRPr="007B1511">
        <w:rPr>
          <w:rFonts w:ascii="Arial" w:hAnsi="Arial" w:cs="Arial"/>
          <w:sz w:val="22"/>
          <w:szCs w:val="22"/>
        </w:rPr>
        <w:t xml:space="preserve">to remain in place </w:t>
      </w:r>
      <w:r w:rsidR="003F2E5F">
        <w:rPr>
          <w:rFonts w:ascii="Arial" w:hAnsi="Arial" w:cs="Arial"/>
          <w:sz w:val="22"/>
          <w:szCs w:val="22"/>
        </w:rPr>
        <w:t>until its dissolution</w:t>
      </w:r>
      <w:r w:rsidR="007B1511" w:rsidRPr="007B1511">
        <w:rPr>
          <w:rFonts w:ascii="Arial" w:hAnsi="Arial" w:cs="Arial"/>
          <w:sz w:val="22"/>
          <w:szCs w:val="22"/>
        </w:rPr>
        <w:t xml:space="preserve"> in July 2019. Several of these repressive decrees remain in effect</w:t>
      </w:r>
      <w:r w:rsidR="00A708F4">
        <w:rPr>
          <w:rFonts w:ascii="Arial" w:hAnsi="Arial" w:cs="Arial"/>
          <w:sz w:val="22"/>
          <w:szCs w:val="22"/>
        </w:rPr>
        <w:t xml:space="preserve"> to date</w:t>
      </w:r>
      <w:r w:rsidR="007B1511" w:rsidRPr="007B1511">
        <w:rPr>
          <w:rFonts w:ascii="Arial" w:hAnsi="Arial" w:cs="Arial"/>
          <w:sz w:val="22"/>
          <w:szCs w:val="22"/>
        </w:rPr>
        <w:t>.</w:t>
      </w:r>
      <w:r w:rsidR="007B1511">
        <w:rPr>
          <w:rFonts w:ascii="Arial" w:hAnsi="Arial" w:cs="Arial"/>
          <w:sz w:val="22"/>
          <w:szCs w:val="22"/>
        </w:rPr>
        <w:t xml:space="preserve"> </w:t>
      </w:r>
      <w:r w:rsidR="007B1511" w:rsidRPr="007B1511">
        <w:rPr>
          <w:rFonts w:ascii="Arial" w:hAnsi="Arial" w:cs="Arial"/>
          <w:sz w:val="22"/>
          <w:szCs w:val="22"/>
        </w:rPr>
        <w:t xml:space="preserve">Other problematic provisions of the 2017 constitution clash with democratic principles and ensure </w:t>
      </w:r>
      <w:r w:rsidR="003B5BBA">
        <w:rPr>
          <w:rFonts w:ascii="Arial" w:hAnsi="Arial" w:cs="Arial"/>
          <w:sz w:val="22"/>
          <w:szCs w:val="22"/>
        </w:rPr>
        <w:t xml:space="preserve">that </w:t>
      </w:r>
      <w:r w:rsidR="007B1511" w:rsidRPr="007B1511">
        <w:rPr>
          <w:rFonts w:ascii="Arial" w:hAnsi="Arial" w:cs="Arial"/>
          <w:sz w:val="22"/>
          <w:szCs w:val="22"/>
        </w:rPr>
        <w:t>the military will retain its grip on power for the next several years.</w:t>
      </w:r>
    </w:p>
    <w:p w14:paraId="739673F7" w14:textId="77777777" w:rsidR="003E49DF" w:rsidRDefault="003E49DF" w:rsidP="00C938EE">
      <w:pPr>
        <w:jc w:val="both"/>
        <w:rPr>
          <w:rFonts w:ascii="Arial" w:hAnsi="Arial" w:cs="Arial"/>
          <w:sz w:val="22"/>
          <w:szCs w:val="22"/>
        </w:rPr>
      </w:pPr>
    </w:p>
    <w:p w14:paraId="6DEBC4DC" w14:textId="6661CDF1" w:rsidR="004F4EDF" w:rsidRDefault="004F4EDF" w:rsidP="004F4EDF">
      <w:pPr>
        <w:jc w:val="both"/>
        <w:rPr>
          <w:rFonts w:ascii="Arial" w:hAnsi="Arial" w:cs="Arial"/>
          <w:sz w:val="22"/>
          <w:szCs w:val="22"/>
        </w:rPr>
      </w:pPr>
      <w:r w:rsidRPr="00D17E7E">
        <w:rPr>
          <w:rFonts w:ascii="Arial" w:hAnsi="Arial" w:cs="Arial"/>
          <w:b/>
          <w:i/>
          <w:sz w:val="22"/>
          <w:szCs w:val="22"/>
        </w:rPr>
        <w:t>“</w:t>
      </w:r>
      <w:r>
        <w:rPr>
          <w:rFonts w:ascii="Arial" w:hAnsi="Arial" w:cs="Arial"/>
          <w:b/>
          <w:i/>
          <w:sz w:val="22"/>
          <w:szCs w:val="22"/>
        </w:rPr>
        <w:t xml:space="preserve">The </w:t>
      </w:r>
      <w:r w:rsidR="002A2265">
        <w:rPr>
          <w:rFonts w:ascii="Arial" w:hAnsi="Arial" w:cs="Arial"/>
          <w:b/>
          <w:i/>
          <w:sz w:val="22"/>
          <w:szCs w:val="22"/>
        </w:rPr>
        <w:t xml:space="preserve">repressive legacy of the military junta </w:t>
      </w:r>
      <w:r>
        <w:rPr>
          <w:rFonts w:ascii="Arial" w:hAnsi="Arial" w:cs="Arial"/>
          <w:b/>
          <w:i/>
          <w:sz w:val="22"/>
          <w:szCs w:val="22"/>
        </w:rPr>
        <w:t>lives on despite its formal dissolution.</w:t>
      </w:r>
      <w:r w:rsidRPr="00D17E7E">
        <w:rPr>
          <w:rFonts w:ascii="Arial" w:hAnsi="Arial" w:cs="Arial"/>
          <w:b/>
          <w:i/>
          <w:sz w:val="22"/>
          <w:szCs w:val="22"/>
        </w:rPr>
        <w:t xml:space="preserve"> The UN should </w:t>
      </w:r>
      <w:r w:rsidR="002A2265">
        <w:rPr>
          <w:rFonts w:ascii="Arial" w:hAnsi="Arial" w:cs="Arial"/>
          <w:b/>
          <w:i/>
          <w:sz w:val="22"/>
          <w:szCs w:val="22"/>
        </w:rPr>
        <w:t>signal</w:t>
      </w:r>
      <w:r w:rsidRPr="00D17E7E">
        <w:rPr>
          <w:rFonts w:ascii="Arial" w:hAnsi="Arial" w:cs="Arial"/>
          <w:b/>
          <w:i/>
          <w:sz w:val="22"/>
          <w:szCs w:val="22"/>
        </w:rPr>
        <w:t xml:space="preserve"> </w:t>
      </w:r>
      <w:r w:rsidR="00F37BBF">
        <w:rPr>
          <w:rFonts w:ascii="Arial" w:hAnsi="Arial" w:cs="Arial"/>
          <w:b/>
          <w:i/>
          <w:sz w:val="22"/>
          <w:szCs w:val="22"/>
        </w:rPr>
        <w:t xml:space="preserve">to </w:t>
      </w:r>
      <w:r w:rsidRPr="00D17E7E">
        <w:rPr>
          <w:rFonts w:ascii="Arial" w:hAnsi="Arial" w:cs="Arial"/>
          <w:b/>
          <w:i/>
          <w:sz w:val="22"/>
          <w:szCs w:val="22"/>
        </w:rPr>
        <w:t xml:space="preserve">the </w:t>
      </w:r>
      <w:r w:rsidR="002A2265">
        <w:rPr>
          <w:rFonts w:ascii="Arial" w:hAnsi="Arial" w:cs="Arial"/>
          <w:b/>
          <w:i/>
          <w:sz w:val="22"/>
          <w:szCs w:val="22"/>
        </w:rPr>
        <w:t>Thai government</w:t>
      </w:r>
      <w:r w:rsidRPr="00D17E7E">
        <w:rPr>
          <w:rFonts w:ascii="Arial" w:hAnsi="Arial" w:cs="Arial"/>
          <w:b/>
          <w:i/>
          <w:sz w:val="22"/>
          <w:szCs w:val="22"/>
        </w:rPr>
        <w:t xml:space="preserve"> that </w:t>
      </w:r>
      <w:r w:rsidR="002A2265">
        <w:rPr>
          <w:rFonts w:ascii="Arial" w:hAnsi="Arial" w:cs="Arial"/>
          <w:b/>
          <w:i/>
          <w:sz w:val="22"/>
          <w:szCs w:val="22"/>
        </w:rPr>
        <w:t xml:space="preserve">urgent and substantive action is needed to </w:t>
      </w:r>
      <w:r w:rsidRPr="00D17E7E">
        <w:rPr>
          <w:rFonts w:ascii="Arial" w:hAnsi="Arial" w:cs="Arial"/>
          <w:b/>
          <w:i/>
          <w:sz w:val="22"/>
          <w:szCs w:val="22"/>
        </w:rPr>
        <w:t xml:space="preserve">restore </w:t>
      </w:r>
      <w:r w:rsidR="00FD225F">
        <w:rPr>
          <w:rFonts w:ascii="Arial" w:hAnsi="Arial" w:cs="Arial"/>
          <w:b/>
          <w:i/>
          <w:sz w:val="22"/>
          <w:szCs w:val="22"/>
        </w:rPr>
        <w:t xml:space="preserve">the rule of law, </w:t>
      </w:r>
      <w:r w:rsidR="002A2265">
        <w:rPr>
          <w:rFonts w:ascii="Arial" w:hAnsi="Arial" w:cs="Arial"/>
          <w:b/>
          <w:i/>
          <w:sz w:val="22"/>
          <w:szCs w:val="22"/>
        </w:rPr>
        <w:t>respect</w:t>
      </w:r>
      <w:r w:rsidRPr="00D17E7E">
        <w:rPr>
          <w:rFonts w:ascii="Arial" w:hAnsi="Arial" w:cs="Arial"/>
          <w:b/>
          <w:i/>
          <w:sz w:val="22"/>
          <w:szCs w:val="22"/>
        </w:rPr>
        <w:t xml:space="preserve"> of civil and political rights,</w:t>
      </w:r>
      <w:r w:rsidR="00FD225F">
        <w:rPr>
          <w:rFonts w:ascii="Arial" w:hAnsi="Arial" w:cs="Arial"/>
          <w:b/>
          <w:i/>
          <w:sz w:val="22"/>
          <w:szCs w:val="22"/>
        </w:rPr>
        <w:t xml:space="preserve"> and uphold democratic principles,</w:t>
      </w:r>
      <w:r w:rsidRPr="00D17E7E">
        <w:rPr>
          <w:rFonts w:ascii="Arial" w:hAnsi="Arial" w:cs="Arial"/>
          <w:b/>
          <w:i/>
          <w:sz w:val="22"/>
          <w:szCs w:val="22"/>
        </w:rPr>
        <w:t>”</w:t>
      </w:r>
      <w:r w:rsidRPr="00D17E7E">
        <w:rPr>
          <w:rFonts w:ascii="Arial" w:hAnsi="Arial" w:cs="Arial"/>
          <w:sz w:val="22"/>
          <w:szCs w:val="22"/>
        </w:rPr>
        <w:t xml:space="preserve"> said </w:t>
      </w:r>
      <w:proofErr w:type="spellStart"/>
      <w:r w:rsidRPr="00D17E7E">
        <w:rPr>
          <w:rFonts w:ascii="Arial" w:hAnsi="Arial" w:cs="Arial"/>
          <w:sz w:val="22"/>
          <w:szCs w:val="22"/>
        </w:rPr>
        <w:t>iLaw</w:t>
      </w:r>
      <w:proofErr w:type="spellEnd"/>
      <w:r w:rsidRPr="00D17E7E">
        <w:rPr>
          <w:rFonts w:ascii="Arial" w:hAnsi="Arial" w:cs="Arial"/>
          <w:sz w:val="22"/>
          <w:szCs w:val="22"/>
        </w:rPr>
        <w:t xml:space="preserve"> Executive Director Jon </w:t>
      </w:r>
      <w:proofErr w:type="spellStart"/>
      <w:r w:rsidRPr="00D17E7E">
        <w:rPr>
          <w:rFonts w:ascii="Arial" w:hAnsi="Arial" w:cs="Arial"/>
          <w:sz w:val="22"/>
          <w:szCs w:val="22"/>
        </w:rPr>
        <w:t>Ungpakorn</w:t>
      </w:r>
      <w:proofErr w:type="spellEnd"/>
      <w:r w:rsidRPr="00D17E7E">
        <w:rPr>
          <w:rFonts w:ascii="Arial" w:hAnsi="Arial" w:cs="Arial"/>
          <w:sz w:val="22"/>
          <w:szCs w:val="22"/>
        </w:rPr>
        <w:t>.</w:t>
      </w:r>
    </w:p>
    <w:p w14:paraId="08EC2F20" w14:textId="77777777" w:rsidR="004F4EDF" w:rsidRDefault="004F4EDF" w:rsidP="00C938EE">
      <w:pPr>
        <w:jc w:val="both"/>
        <w:rPr>
          <w:rFonts w:ascii="Arial" w:hAnsi="Arial" w:cs="Arial"/>
          <w:sz w:val="22"/>
          <w:szCs w:val="22"/>
        </w:rPr>
      </w:pPr>
    </w:p>
    <w:p w14:paraId="67D89432" w14:textId="76BF5F44" w:rsidR="00434878" w:rsidRDefault="00434878" w:rsidP="00D040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Thai government </w:t>
      </w:r>
      <w:r w:rsidR="00D04044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also failed to implement the CCPR’s recommendations </w:t>
      </w:r>
      <w:r w:rsidR="001578F3">
        <w:rPr>
          <w:rFonts w:ascii="Arial" w:hAnsi="Arial" w:cs="Arial"/>
          <w:sz w:val="22"/>
          <w:szCs w:val="22"/>
        </w:rPr>
        <w:t>on</w:t>
      </w:r>
      <w:r w:rsidRPr="00434878">
        <w:rPr>
          <w:rFonts w:ascii="Arial" w:hAnsi="Arial" w:cs="Arial"/>
          <w:sz w:val="22"/>
          <w:szCs w:val="22"/>
        </w:rPr>
        <w:t xml:space="preserve"> torture, extrajudicial killings, and enforced disappearances. Reports of these types of </w:t>
      </w:r>
      <w:r>
        <w:rPr>
          <w:rFonts w:ascii="Arial" w:hAnsi="Arial" w:cs="Arial"/>
          <w:sz w:val="22"/>
          <w:szCs w:val="22"/>
        </w:rPr>
        <w:t xml:space="preserve">human rights </w:t>
      </w:r>
      <w:r w:rsidRPr="00434878">
        <w:rPr>
          <w:rFonts w:ascii="Arial" w:hAnsi="Arial" w:cs="Arial"/>
          <w:sz w:val="22"/>
          <w:szCs w:val="22"/>
        </w:rPr>
        <w:t xml:space="preserve">violations persist, as do reports of impunity for perpetrators </w:t>
      </w:r>
      <w:r w:rsidR="001578F3">
        <w:rPr>
          <w:rFonts w:ascii="Arial" w:hAnsi="Arial" w:cs="Arial"/>
          <w:sz w:val="22"/>
          <w:szCs w:val="22"/>
        </w:rPr>
        <w:t xml:space="preserve">of such violations </w:t>
      </w:r>
      <w:r w:rsidRPr="00434878">
        <w:rPr>
          <w:rFonts w:ascii="Arial" w:hAnsi="Arial" w:cs="Arial"/>
          <w:sz w:val="22"/>
          <w:szCs w:val="22"/>
        </w:rPr>
        <w:t xml:space="preserve">due to inadequate investigations </w:t>
      </w:r>
      <w:r w:rsidR="00D04044">
        <w:rPr>
          <w:rFonts w:ascii="Arial" w:hAnsi="Arial" w:cs="Arial"/>
          <w:sz w:val="22"/>
          <w:szCs w:val="22"/>
        </w:rPr>
        <w:t>of</w:t>
      </w:r>
      <w:r w:rsidR="00D04044" w:rsidRPr="00434878">
        <w:rPr>
          <w:rFonts w:ascii="Arial" w:hAnsi="Arial" w:cs="Arial"/>
          <w:sz w:val="22"/>
          <w:szCs w:val="22"/>
        </w:rPr>
        <w:t xml:space="preserve"> </w:t>
      </w:r>
      <w:r w:rsidRPr="00434878">
        <w:rPr>
          <w:rFonts w:ascii="Arial" w:hAnsi="Arial" w:cs="Arial"/>
          <w:sz w:val="22"/>
          <w:szCs w:val="22"/>
        </w:rPr>
        <w:t>these cases, contrary to Thailand’s obligations under the</w:t>
      </w:r>
      <w:r w:rsidR="00F37BBF">
        <w:rPr>
          <w:rFonts w:ascii="Arial" w:hAnsi="Arial" w:cs="Arial"/>
          <w:sz w:val="22"/>
          <w:szCs w:val="22"/>
        </w:rPr>
        <w:t xml:space="preserve"> International Covenant on Civil and Political Rights</w:t>
      </w:r>
      <w:r w:rsidRPr="00434878">
        <w:rPr>
          <w:rFonts w:ascii="Arial" w:hAnsi="Arial" w:cs="Arial"/>
          <w:sz w:val="22"/>
          <w:szCs w:val="22"/>
        </w:rPr>
        <w:t xml:space="preserve"> </w:t>
      </w:r>
      <w:r w:rsidR="00F37B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ICCPR</w:t>
      </w:r>
      <w:r w:rsidR="00F37BBF">
        <w:rPr>
          <w:rFonts w:ascii="Arial" w:hAnsi="Arial" w:cs="Arial"/>
          <w:sz w:val="22"/>
          <w:szCs w:val="22"/>
        </w:rPr>
        <w:t>)</w:t>
      </w:r>
      <w:r w:rsidRPr="00434878">
        <w:rPr>
          <w:rFonts w:ascii="Arial" w:hAnsi="Arial" w:cs="Arial"/>
          <w:sz w:val="22"/>
          <w:szCs w:val="22"/>
        </w:rPr>
        <w:t>.</w:t>
      </w:r>
    </w:p>
    <w:p w14:paraId="7ABA3D7E" w14:textId="77777777" w:rsidR="0005764E" w:rsidRDefault="0005764E" w:rsidP="00C938EE">
      <w:pPr>
        <w:jc w:val="both"/>
        <w:rPr>
          <w:rFonts w:ascii="Arial" w:hAnsi="Arial" w:cs="Arial"/>
          <w:sz w:val="22"/>
          <w:szCs w:val="22"/>
        </w:rPr>
      </w:pPr>
    </w:p>
    <w:p w14:paraId="55D60A3A" w14:textId="77777777" w:rsidR="0005764E" w:rsidRDefault="0005764E" w:rsidP="00C938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regard to detention conditions, </w:t>
      </w:r>
      <w:r w:rsidR="00E830F8" w:rsidRPr="00E830F8">
        <w:rPr>
          <w:rFonts w:ascii="Arial" w:hAnsi="Arial" w:cs="Arial"/>
          <w:sz w:val="22"/>
          <w:szCs w:val="22"/>
        </w:rPr>
        <w:t xml:space="preserve">Thailand has failed to take tangible steps to reduce </w:t>
      </w:r>
      <w:r w:rsidR="00E830F8">
        <w:rPr>
          <w:rFonts w:ascii="Arial" w:hAnsi="Arial" w:cs="Arial"/>
          <w:sz w:val="22"/>
          <w:szCs w:val="22"/>
        </w:rPr>
        <w:t xml:space="preserve">prison </w:t>
      </w:r>
      <w:r w:rsidR="00E830F8" w:rsidRPr="00E830F8">
        <w:rPr>
          <w:rFonts w:ascii="Arial" w:hAnsi="Arial" w:cs="Arial"/>
          <w:sz w:val="22"/>
          <w:szCs w:val="22"/>
        </w:rPr>
        <w:t xml:space="preserve">overcrowding, guarantee that detainees are treated with humanity and dignity, or ensure that conditions of detention in all Thai </w:t>
      </w:r>
      <w:r w:rsidR="00E830F8">
        <w:rPr>
          <w:rFonts w:ascii="Arial" w:hAnsi="Arial" w:cs="Arial"/>
          <w:sz w:val="22"/>
          <w:szCs w:val="22"/>
        </w:rPr>
        <w:t>jails</w:t>
      </w:r>
      <w:r w:rsidR="00E830F8" w:rsidRPr="00E830F8">
        <w:rPr>
          <w:rFonts w:ascii="Arial" w:hAnsi="Arial" w:cs="Arial"/>
          <w:sz w:val="22"/>
          <w:szCs w:val="22"/>
        </w:rPr>
        <w:t xml:space="preserve"> are in line with international standards, as recommended by the CCPR.</w:t>
      </w:r>
    </w:p>
    <w:p w14:paraId="0F532BDD" w14:textId="77777777" w:rsidR="00D65D76" w:rsidRDefault="00D65D76" w:rsidP="00DE542C">
      <w:pPr>
        <w:jc w:val="both"/>
        <w:rPr>
          <w:rFonts w:ascii="Arial" w:hAnsi="Arial" w:cs="Arial"/>
          <w:sz w:val="22"/>
          <w:szCs w:val="22"/>
        </w:rPr>
      </w:pPr>
    </w:p>
    <w:p w14:paraId="04C67A22" w14:textId="77777777" w:rsidR="008200BA" w:rsidRDefault="00AB11B2" w:rsidP="008200BA">
      <w:pPr>
        <w:jc w:val="both"/>
        <w:rPr>
          <w:rFonts w:ascii="Arial" w:hAnsi="Arial" w:cs="Arial"/>
          <w:sz w:val="22"/>
          <w:szCs w:val="22"/>
        </w:rPr>
      </w:pPr>
      <w:r w:rsidRPr="00E32BA8">
        <w:rPr>
          <w:rFonts w:ascii="Arial" w:hAnsi="Arial" w:cs="Arial"/>
          <w:b/>
          <w:i/>
          <w:sz w:val="22"/>
          <w:szCs w:val="22"/>
        </w:rPr>
        <w:t>“</w:t>
      </w:r>
      <w:r w:rsidR="007B1511">
        <w:rPr>
          <w:rFonts w:ascii="Arial" w:hAnsi="Arial" w:cs="Arial"/>
          <w:b/>
          <w:i/>
          <w:sz w:val="22"/>
          <w:szCs w:val="22"/>
        </w:rPr>
        <w:t>Thailand</w:t>
      </w:r>
      <w:r w:rsidR="004F4EDF">
        <w:rPr>
          <w:rFonts w:ascii="Arial" w:hAnsi="Arial" w:cs="Arial"/>
          <w:b/>
          <w:i/>
          <w:sz w:val="22"/>
          <w:szCs w:val="22"/>
        </w:rPr>
        <w:t>’s</w:t>
      </w:r>
      <w:r w:rsidR="00DA7D53">
        <w:rPr>
          <w:rFonts w:ascii="Arial" w:hAnsi="Arial" w:cs="Arial"/>
          <w:b/>
          <w:i/>
          <w:sz w:val="22"/>
          <w:szCs w:val="22"/>
        </w:rPr>
        <w:t xml:space="preserve"> prison population</w:t>
      </w:r>
      <w:r w:rsidR="004F4EDF">
        <w:rPr>
          <w:rFonts w:ascii="Arial" w:hAnsi="Arial" w:cs="Arial"/>
          <w:b/>
          <w:i/>
          <w:sz w:val="22"/>
          <w:szCs w:val="22"/>
        </w:rPr>
        <w:t xml:space="preserve"> has</w:t>
      </w:r>
      <w:r w:rsidR="00DA7D53">
        <w:rPr>
          <w:rFonts w:ascii="Arial" w:hAnsi="Arial" w:cs="Arial"/>
          <w:b/>
          <w:i/>
          <w:sz w:val="22"/>
          <w:szCs w:val="22"/>
        </w:rPr>
        <w:t xml:space="preserve"> </w:t>
      </w:r>
      <w:r w:rsidR="004F4EDF">
        <w:rPr>
          <w:rFonts w:ascii="Arial" w:hAnsi="Arial" w:cs="Arial"/>
          <w:b/>
          <w:i/>
          <w:sz w:val="22"/>
          <w:szCs w:val="22"/>
        </w:rPr>
        <w:t xml:space="preserve">increased by more than 30% </w:t>
      </w:r>
      <w:r w:rsidR="00DA7D53">
        <w:rPr>
          <w:rFonts w:ascii="Arial" w:hAnsi="Arial" w:cs="Arial"/>
          <w:b/>
          <w:i/>
          <w:sz w:val="22"/>
          <w:szCs w:val="22"/>
        </w:rPr>
        <w:t>s</w:t>
      </w:r>
      <w:r w:rsidR="00F5582A">
        <w:rPr>
          <w:rFonts w:ascii="Arial" w:hAnsi="Arial" w:cs="Arial"/>
          <w:b/>
          <w:i/>
          <w:sz w:val="22"/>
          <w:szCs w:val="22"/>
        </w:rPr>
        <w:t xml:space="preserve">ince the UN review </w:t>
      </w:r>
      <w:r w:rsidR="00DA7D53">
        <w:rPr>
          <w:rFonts w:ascii="Arial" w:hAnsi="Arial" w:cs="Arial"/>
          <w:b/>
          <w:i/>
          <w:sz w:val="22"/>
          <w:szCs w:val="22"/>
        </w:rPr>
        <w:t>in March 2017</w:t>
      </w:r>
      <w:r w:rsidR="004F4EDF">
        <w:rPr>
          <w:rFonts w:ascii="Arial" w:hAnsi="Arial" w:cs="Arial"/>
          <w:b/>
          <w:i/>
          <w:sz w:val="22"/>
          <w:szCs w:val="22"/>
        </w:rPr>
        <w:t>.</w:t>
      </w:r>
      <w:r w:rsidR="00DA7D53">
        <w:rPr>
          <w:rFonts w:ascii="Arial" w:hAnsi="Arial" w:cs="Arial"/>
          <w:b/>
          <w:i/>
          <w:sz w:val="22"/>
          <w:szCs w:val="22"/>
        </w:rPr>
        <w:t xml:space="preserve"> </w:t>
      </w:r>
      <w:r w:rsidR="004F4EDF">
        <w:rPr>
          <w:rFonts w:ascii="Arial" w:hAnsi="Arial" w:cs="Arial"/>
          <w:b/>
          <w:i/>
          <w:sz w:val="22"/>
          <w:szCs w:val="22"/>
        </w:rPr>
        <w:t xml:space="preserve">Severe overcrowding and sub-standard conditions mean that </w:t>
      </w:r>
      <w:r w:rsidR="007B1511">
        <w:rPr>
          <w:rFonts w:ascii="Arial" w:hAnsi="Arial" w:cs="Arial"/>
          <w:b/>
          <w:i/>
          <w:sz w:val="22"/>
          <w:szCs w:val="22"/>
        </w:rPr>
        <w:t>Thai prisons are a ticking time bomb ready to explode</w:t>
      </w:r>
      <w:r w:rsidR="004F4EDF">
        <w:rPr>
          <w:rFonts w:ascii="Arial" w:hAnsi="Arial" w:cs="Arial"/>
          <w:b/>
          <w:i/>
          <w:sz w:val="22"/>
          <w:szCs w:val="22"/>
        </w:rPr>
        <w:t>. The Thai government must urgently undertake policy reforms that address the root causes of this crisis,</w:t>
      </w:r>
      <w:r w:rsidRPr="00E32BA8">
        <w:rPr>
          <w:rFonts w:ascii="Arial" w:hAnsi="Arial" w:cs="Arial"/>
          <w:b/>
          <w:i/>
          <w:sz w:val="22"/>
          <w:szCs w:val="22"/>
        </w:rPr>
        <w:t>”</w:t>
      </w:r>
      <w:r w:rsidRPr="0017000F">
        <w:rPr>
          <w:rFonts w:ascii="Arial" w:hAnsi="Arial" w:cs="Arial"/>
          <w:sz w:val="22"/>
          <w:szCs w:val="22"/>
        </w:rPr>
        <w:t xml:space="preserve"> said </w:t>
      </w:r>
      <w:r w:rsidR="00A7284D" w:rsidRPr="0017000F">
        <w:rPr>
          <w:rFonts w:ascii="Arial" w:hAnsi="Arial" w:cs="Arial"/>
          <w:sz w:val="22"/>
          <w:szCs w:val="22"/>
        </w:rPr>
        <w:t xml:space="preserve">UCL </w:t>
      </w:r>
      <w:r w:rsidR="00A5344B">
        <w:rPr>
          <w:rFonts w:ascii="Arial" w:hAnsi="Arial" w:cs="Arial"/>
          <w:sz w:val="22"/>
          <w:szCs w:val="22"/>
        </w:rPr>
        <w:t xml:space="preserve">Vice-President </w:t>
      </w:r>
      <w:proofErr w:type="spellStart"/>
      <w:r w:rsidR="00A5344B">
        <w:rPr>
          <w:rFonts w:ascii="Arial" w:hAnsi="Arial" w:cs="Arial"/>
          <w:sz w:val="22"/>
          <w:szCs w:val="22"/>
        </w:rPr>
        <w:t>Gawin</w:t>
      </w:r>
      <w:proofErr w:type="spellEnd"/>
      <w:r w:rsidR="00A534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44B">
        <w:rPr>
          <w:rFonts w:ascii="Arial" w:hAnsi="Arial" w:cs="Arial"/>
          <w:sz w:val="22"/>
          <w:szCs w:val="22"/>
        </w:rPr>
        <w:t>Chutima</w:t>
      </w:r>
      <w:proofErr w:type="spellEnd"/>
      <w:r w:rsidRPr="0017000F">
        <w:rPr>
          <w:rFonts w:ascii="Arial" w:hAnsi="Arial" w:cs="Arial"/>
          <w:sz w:val="22"/>
          <w:szCs w:val="22"/>
        </w:rPr>
        <w:t>.</w:t>
      </w:r>
    </w:p>
    <w:p w14:paraId="4D480A58" w14:textId="77777777" w:rsidR="00A5344B" w:rsidRDefault="00A5344B" w:rsidP="00DE542C">
      <w:pPr>
        <w:jc w:val="both"/>
        <w:rPr>
          <w:rFonts w:ascii="Arial" w:hAnsi="Arial" w:cs="Arial"/>
          <w:sz w:val="22"/>
          <w:szCs w:val="22"/>
        </w:rPr>
      </w:pPr>
    </w:p>
    <w:p w14:paraId="5FC1C150" w14:textId="5DEB8787" w:rsidR="007B1511" w:rsidRDefault="007B1511" w:rsidP="007B1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CCPR monitors states parties’ compliance with their legal obligations under the </w:t>
      </w:r>
      <w:r w:rsidR="00BF62CF">
        <w:rPr>
          <w:rFonts w:ascii="Arial" w:hAnsi="Arial" w:cs="Arial"/>
          <w:sz w:val="22"/>
          <w:szCs w:val="22"/>
        </w:rPr>
        <w:t>ICCPR</w:t>
      </w:r>
      <w:r>
        <w:rPr>
          <w:rFonts w:ascii="Arial" w:hAnsi="Arial" w:cs="Arial"/>
          <w:sz w:val="22"/>
          <w:szCs w:val="22"/>
        </w:rPr>
        <w:t xml:space="preserve">. Thailand is a state party to the ICCPR. </w:t>
      </w:r>
      <w:r w:rsidRPr="00A5344B">
        <w:rPr>
          <w:rFonts w:ascii="Arial" w:hAnsi="Arial" w:cs="Arial"/>
          <w:sz w:val="22"/>
          <w:szCs w:val="22"/>
        </w:rPr>
        <w:t>Thailand</w:t>
      </w:r>
      <w:r>
        <w:rPr>
          <w:rFonts w:ascii="Arial" w:hAnsi="Arial" w:cs="Arial"/>
          <w:sz w:val="22"/>
          <w:szCs w:val="22"/>
        </w:rPr>
        <w:t>’s second periodic review under the ICCPR</w:t>
      </w:r>
      <w:r w:rsidRPr="00A5344B">
        <w:rPr>
          <w:rFonts w:ascii="Arial" w:hAnsi="Arial" w:cs="Arial"/>
          <w:sz w:val="22"/>
          <w:szCs w:val="22"/>
        </w:rPr>
        <w:t xml:space="preserve"> was examined by the CCPR on</w:t>
      </w:r>
      <w:r>
        <w:rPr>
          <w:rFonts w:ascii="Arial" w:hAnsi="Arial" w:cs="Arial"/>
          <w:sz w:val="22"/>
          <w:szCs w:val="22"/>
        </w:rPr>
        <w:t xml:space="preserve"> 13-14 March 2017.</w:t>
      </w:r>
    </w:p>
    <w:p w14:paraId="2721F0C2" w14:textId="77777777" w:rsidR="007B1511" w:rsidRDefault="007B1511" w:rsidP="00DE542C">
      <w:pPr>
        <w:jc w:val="both"/>
        <w:rPr>
          <w:rFonts w:ascii="Arial" w:hAnsi="Arial" w:cs="Arial"/>
          <w:sz w:val="22"/>
          <w:szCs w:val="22"/>
        </w:rPr>
      </w:pPr>
    </w:p>
    <w:p w14:paraId="5C1DFC05" w14:textId="77777777" w:rsidR="00DE542C" w:rsidRPr="005D5852" w:rsidRDefault="00DE542C" w:rsidP="00DE54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60826">
        <w:rPr>
          <w:rFonts w:ascii="Arial" w:hAnsi="Arial" w:cs="Arial"/>
          <w:b/>
          <w:bCs/>
          <w:sz w:val="22"/>
          <w:szCs w:val="22"/>
        </w:rPr>
        <w:t>Press contact</w:t>
      </w:r>
    </w:p>
    <w:p w14:paraId="055A38D7" w14:textId="77777777" w:rsidR="00F93FA7" w:rsidRPr="00F1447A" w:rsidRDefault="0076512C" w:rsidP="0076512C">
      <w:pPr>
        <w:jc w:val="both"/>
        <w:rPr>
          <w:rFonts w:ascii="Arial" w:hAnsi="Arial" w:cs="Arial"/>
          <w:sz w:val="22"/>
          <w:szCs w:val="22"/>
        </w:rPr>
      </w:pPr>
      <w:r w:rsidRPr="0076512C">
        <w:rPr>
          <w:rFonts w:ascii="Arial" w:hAnsi="Arial" w:cs="Arial"/>
          <w:sz w:val="22"/>
          <w:szCs w:val="22"/>
        </w:rPr>
        <w:t xml:space="preserve">Ms. </w:t>
      </w:r>
      <w:r w:rsidR="007B1511">
        <w:rPr>
          <w:rFonts w:ascii="Arial" w:hAnsi="Arial" w:cs="Arial"/>
          <w:sz w:val="22"/>
          <w:szCs w:val="22"/>
        </w:rPr>
        <w:t xml:space="preserve">Eva </w:t>
      </w:r>
      <w:proofErr w:type="spellStart"/>
      <w:r w:rsidR="007B1511">
        <w:rPr>
          <w:rFonts w:ascii="Arial" w:hAnsi="Arial" w:cs="Arial"/>
          <w:sz w:val="22"/>
          <w:szCs w:val="22"/>
        </w:rPr>
        <w:t>Canan</w:t>
      </w:r>
      <w:proofErr w:type="spellEnd"/>
      <w:r w:rsidRPr="0076512C">
        <w:rPr>
          <w:rFonts w:ascii="Arial" w:hAnsi="Arial" w:cs="Arial"/>
          <w:sz w:val="22"/>
          <w:szCs w:val="22"/>
        </w:rPr>
        <w:t xml:space="preserve"> (French, English) - Tel: +33648059157 (Paris)</w:t>
      </w:r>
    </w:p>
    <w:sectPr w:rsidR="00F93FA7" w:rsidRPr="00F1447A" w:rsidSect="00F93F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4BB4" w14:textId="77777777" w:rsidR="004A6E0C" w:rsidRDefault="004A6E0C" w:rsidP="0001547B">
      <w:r>
        <w:separator/>
      </w:r>
    </w:p>
  </w:endnote>
  <w:endnote w:type="continuationSeparator" w:id="0">
    <w:p w14:paraId="18EE99C3" w14:textId="77777777" w:rsidR="004A6E0C" w:rsidRDefault="004A6E0C" w:rsidP="000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EB61C" w14:textId="77777777" w:rsidR="004A6E0C" w:rsidRDefault="004A6E0C" w:rsidP="0001547B">
      <w:r>
        <w:separator/>
      </w:r>
    </w:p>
  </w:footnote>
  <w:footnote w:type="continuationSeparator" w:id="0">
    <w:p w14:paraId="57419750" w14:textId="77777777" w:rsidR="004A6E0C" w:rsidRDefault="004A6E0C" w:rsidP="0001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E542C"/>
    <w:rsid w:val="00001A9A"/>
    <w:rsid w:val="000048A4"/>
    <w:rsid w:val="00005867"/>
    <w:rsid w:val="00006C14"/>
    <w:rsid w:val="000120E2"/>
    <w:rsid w:val="0001547B"/>
    <w:rsid w:val="00016222"/>
    <w:rsid w:val="000173F2"/>
    <w:rsid w:val="00017514"/>
    <w:rsid w:val="0001767E"/>
    <w:rsid w:val="00017C20"/>
    <w:rsid w:val="00024363"/>
    <w:rsid w:val="00025C5D"/>
    <w:rsid w:val="000264E8"/>
    <w:rsid w:val="0004047C"/>
    <w:rsid w:val="000420F9"/>
    <w:rsid w:val="000469B9"/>
    <w:rsid w:val="0005068C"/>
    <w:rsid w:val="000511A9"/>
    <w:rsid w:val="00053C6E"/>
    <w:rsid w:val="00053F27"/>
    <w:rsid w:val="000552DC"/>
    <w:rsid w:val="0005764E"/>
    <w:rsid w:val="00057941"/>
    <w:rsid w:val="0006452C"/>
    <w:rsid w:val="00066412"/>
    <w:rsid w:val="00067265"/>
    <w:rsid w:val="000708FE"/>
    <w:rsid w:val="00074945"/>
    <w:rsid w:val="00083C65"/>
    <w:rsid w:val="000843D1"/>
    <w:rsid w:val="000871C8"/>
    <w:rsid w:val="0009686C"/>
    <w:rsid w:val="00096941"/>
    <w:rsid w:val="00096DA0"/>
    <w:rsid w:val="000A0BE9"/>
    <w:rsid w:val="000A1529"/>
    <w:rsid w:val="000A3F6E"/>
    <w:rsid w:val="000B4275"/>
    <w:rsid w:val="000B7998"/>
    <w:rsid w:val="000C0B29"/>
    <w:rsid w:val="000C2601"/>
    <w:rsid w:val="000C28C6"/>
    <w:rsid w:val="000C7BAD"/>
    <w:rsid w:val="000D16CB"/>
    <w:rsid w:val="000E4166"/>
    <w:rsid w:val="00100747"/>
    <w:rsid w:val="00101093"/>
    <w:rsid w:val="00101AA1"/>
    <w:rsid w:val="00103FF0"/>
    <w:rsid w:val="00104AA2"/>
    <w:rsid w:val="00111697"/>
    <w:rsid w:val="00113424"/>
    <w:rsid w:val="00116634"/>
    <w:rsid w:val="001215D8"/>
    <w:rsid w:val="001226F5"/>
    <w:rsid w:val="001249E0"/>
    <w:rsid w:val="001250CE"/>
    <w:rsid w:val="001251A5"/>
    <w:rsid w:val="00135CD6"/>
    <w:rsid w:val="00137813"/>
    <w:rsid w:val="00147541"/>
    <w:rsid w:val="001578F3"/>
    <w:rsid w:val="00157EDF"/>
    <w:rsid w:val="00164B23"/>
    <w:rsid w:val="0016637B"/>
    <w:rsid w:val="0017000F"/>
    <w:rsid w:val="00170D36"/>
    <w:rsid w:val="00170FC4"/>
    <w:rsid w:val="00171D64"/>
    <w:rsid w:val="001726F4"/>
    <w:rsid w:val="0017428A"/>
    <w:rsid w:val="00181DBF"/>
    <w:rsid w:val="001846F9"/>
    <w:rsid w:val="00185934"/>
    <w:rsid w:val="00196EB7"/>
    <w:rsid w:val="001A3C59"/>
    <w:rsid w:val="001A4253"/>
    <w:rsid w:val="001A57AC"/>
    <w:rsid w:val="001A5937"/>
    <w:rsid w:val="001B0B1B"/>
    <w:rsid w:val="001B5420"/>
    <w:rsid w:val="001B5E45"/>
    <w:rsid w:val="001C40B6"/>
    <w:rsid w:val="001D3AC6"/>
    <w:rsid w:val="001D57B2"/>
    <w:rsid w:val="001D73A2"/>
    <w:rsid w:val="001D77A8"/>
    <w:rsid w:val="001D7978"/>
    <w:rsid w:val="001E0ABB"/>
    <w:rsid w:val="001E1B10"/>
    <w:rsid w:val="001E22A6"/>
    <w:rsid w:val="001E3539"/>
    <w:rsid w:val="001E7FA4"/>
    <w:rsid w:val="00200EEC"/>
    <w:rsid w:val="00203191"/>
    <w:rsid w:val="0020431F"/>
    <w:rsid w:val="00204344"/>
    <w:rsid w:val="002053B5"/>
    <w:rsid w:val="002100AC"/>
    <w:rsid w:val="00211976"/>
    <w:rsid w:val="00213278"/>
    <w:rsid w:val="00215B47"/>
    <w:rsid w:val="00216EEA"/>
    <w:rsid w:val="00220EB8"/>
    <w:rsid w:val="00222078"/>
    <w:rsid w:val="00222714"/>
    <w:rsid w:val="00225EEA"/>
    <w:rsid w:val="00234283"/>
    <w:rsid w:val="0023430C"/>
    <w:rsid w:val="00235B7E"/>
    <w:rsid w:val="00242DFB"/>
    <w:rsid w:val="002435B9"/>
    <w:rsid w:val="00243CB9"/>
    <w:rsid w:val="00243D71"/>
    <w:rsid w:val="00246C11"/>
    <w:rsid w:val="00247C21"/>
    <w:rsid w:val="00253C86"/>
    <w:rsid w:val="00254CB0"/>
    <w:rsid w:val="0025621E"/>
    <w:rsid w:val="002611A0"/>
    <w:rsid w:val="00262B51"/>
    <w:rsid w:val="00264F63"/>
    <w:rsid w:val="0026589D"/>
    <w:rsid w:val="002661A6"/>
    <w:rsid w:val="00270549"/>
    <w:rsid w:val="0027215F"/>
    <w:rsid w:val="00272BEA"/>
    <w:rsid w:val="002756A7"/>
    <w:rsid w:val="002839D4"/>
    <w:rsid w:val="00287CC2"/>
    <w:rsid w:val="00293C92"/>
    <w:rsid w:val="00295AAD"/>
    <w:rsid w:val="00297394"/>
    <w:rsid w:val="002A0832"/>
    <w:rsid w:val="002A14D8"/>
    <w:rsid w:val="002A1D0F"/>
    <w:rsid w:val="002A2265"/>
    <w:rsid w:val="002A6C5A"/>
    <w:rsid w:val="002B051D"/>
    <w:rsid w:val="002B332F"/>
    <w:rsid w:val="002B6714"/>
    <w:rsid w:val="002B6C87"/>
    <w:rsid w:val="002B768E"/>
    <w:rsid w:val="002C076B"/>
    <w:rsid w:val="002C2C23"/>
    <w:rsid w:val="002C43A9"/>
    <w:rsid w:val="002C710A"/>
    <w:rsid w:val="002D2579"/>
    <w:rsid w:val="002D4E89"/>
    <w:rsid w:val="002E140A"/>
    <w:rsid w:val="002E2753"/>
    <w:rsid w:val="002E3A44"/>
    <w:rsid w:val="002F567E"/>
    <w:rsid w:val="003020AB"/>
    <w:rsid w:val="00303BAC"/>
    <w:rsid w:val="00305FA6"/>
    <w:rsid w:val="0030759D"/>
    <w:rsid w:val="00310517"/>
    <w:rsid w:val="00310EC9"/>
    <w:rsid w:val="00311F4D"/>
    <w:rsid w:val="003155B7"/>
    <w:rsid w:val="00331360"/>
    <w:rsid w:val="00331F76"/>
    <w:rsid w:val="00334ED5"/>
    <w:rsid w:val="00336BC1"/>
    <w:rsid w:val="00341780"/>
    <w:rsid w:val="00350845"/>
    <w:rsid w:val="00357449"/>
    <w:rsid w:val="0036744E"/>
    <w:rsid w:val="00370CC5"/>
    <w:rsid w:val="00371845"/>
    <w:rsid w:val="00376F7F"/>
    <w:rsid w:val="00383472"/>
    <w:rsid w:val="003852C0"/>
    <w:rsid w:val="00391B48"/>
    <w:rsid w:val="003930D9"/>
    <w:rsid w:val="00394C57"/>
    <w:rsid w:val="00395C03"/>
    <w:rsid w:val="003A141D"/>
    <w:rsid w:val="003A5ED6"/>
    <w:rsid w:val="003B0CBE"/>
    <w:rsid w:val="003B0F7D"/>
    <w:rsid w:val="003B1D07"/>
    <w:rsid w:val="003B23B6"/>
    <w:rsid w:val="003B5BBA"/>
    <w:rsid w:val="003B66FA"/>
    <w:rsid w:val="003B71FD"/>
    <w:rsid w:val="003C1736"/>
    <w:rsid w:val="003C1AAD"/>
    <w:rsid w:val="003C1B3E"/>
    <w:rsid w:val="003C1DA1"/>
    <w:rsid w:val="003C297F"/>
    <w:rsid w:val="003C6E5C"/>
    <w:rsid w:val="003E3677"/>
    <w:rsid w:val="003E3C34"/>
    <w:rsid w:val="003E441A"/>
    <w:rsid w:val="003E49DF"/>
    <w:rsid w:val="003E658E"/>
    <w:rsid w:val="003F15FF"/>
    <w:rsid w:val="003F28B5"/>
    <w:rsid w:val="003F2E5F"/>
    <w:rsid w:val="00402E5E"/>
    <w:rsid w:val="00403187"/>
    <w:rsid w:val="00403BDC"/>
    <w:rsid w:val="0040439B"/>
    <w:rsid w:val="00405320"/>
    <w:rsid w:val="00405366"/>
    <w:rsid w:val="00406EEA"/>
    <w:rsid w:val="00407D3B"/>
    <w:rsid w:val="00417E67"/>
    <w:rsid w:val="004274CC"/>
    <w:rsid w:val="00430AA5"/>
    <w:rsid w:val="00434878"/>
    <w:rsid w:val="004352BF"/>
    <w:rsid w:val="004357A9"/>
    <w:rsid w:val="004369C7"/>
    <w:rsid w:val="0043772B"/>
    <w:rsid w:val="00450A88"/>
    <w:rsid w:val="00450C16"/>
    <w:rsid w:val="00455DF8"/>
    <w:rsid w:val="0046069D"/>
    <w:rsid w:val="004624C4"/>
    <w:rsid w:val="00464163"/>
    <w:rsid w:val="00464F53"/>
    <w:rsid w:val="004651BD"/>
    <w:rsid w:val="00466556"/>
    <w:rsid w:val="00466C1B"/>
    <w:rsid w:val="0047341D"/>
    <w:rsid w:val="004765BA"/>
    <w:rsid w:val="00476908"/>
    <w:rsid w:val="00477B66"/>
    <w:rsid w:val="0048780F"/>
    <w:rsid w:val="00487FFB"/>
    <w:rsid w:val="00492E9C"/>
    <w:rsid w:val="00495532"/>
    <w:rsid w:val="00496D92"/>
    <w:rsid w:val="004A4027"/>
    <w:rsid w:val="004A6E0C"/>
    <w:rsid w:val="004B2DE9"/>
    <w:rsid w:val="004B4A80"/>
    <w:rsid w:val="004B6C31"/>
    <w:rsid w:val="004C23B4"/>
    <w:rsid w:val="004C411A"/>
    <w:rsid w:val="004C76E8"/>
    <w:rsid w:val="004D08BC"/>
    <w:rsid w:val="004E0951"/>
    <w:rsid w:val="004E3923"/>
    <w:rsid w:val="004E5A56"/>
    <w:rsid w:val="004F3258"/>
    <w:rsid w:val="004F4EDF"/>
    <w:rsid w:val="0050013E"/>
    <w:rsid w:val="00501679"/>
    <w:rsid w:val="00501E06"/>
    <w:rsid w:val="00503C8A"/>
    <w:rsid w:val="005044C1"/>
    <w:rsid w:val="00504FA9"/>
    <w:rsid w:val="005067DF"/>
    <w:rsid w:val="0051192B"/>
    <w:rsid w:val="00511E77"/>
    <w:rsid w:val="0051585F"/>
    <w:rsid w:val="005220B1"/>
    <w:rsid w:val="00523EE2"/>
    <w:rsid w:val="00546628"/>
    <w:rsid w:val="005533C2"/>
    <w:rsid w:val="0056136F"/>
    <w:rsid w:val="005731FD"/>
    <w:rsid w:val="00574F8A"/>
    <w:rsid w:val="00575EF1"/>
    <w:rsid w:val="00577475"/>
    <w:rsid w:val="005970A8"/>
    <w:rsid w:val="005A0976"/>
    <w:rsid w:val="005A551D"/>
    <w:rsid w:val="005A6FA8"/>
    <w:rsid w:val="005B0F92"/>
    <w:rsid w:val="005C0751"/>
    <w:rsid w:val="005C56E8"/>
    <w:rsid w:val="005C6286"/>
    <w:rsid w:val="005C73B4"/>
    <w:rsid w:val="005D1A6B"/>
    <w:rsid w:val="005D5852"/>
    <w:rsid w:val="005D7186"/>
    <w:rsid w:val="005D7C2E"/>
    <w:rsid w:val="005E29B0"/>
    <w:rsid w:val="005F1960"/>
    <w:rsid w:val="005F2F46"/>
    <w:rsid w:val="005F75A1"/>
    <w:rsid w:val="005F7AD0"/>
    <w:rsid w:val="006033BE"/>
    <w:rsid w:val="00605941"/>
    <w:rsid w:val="00605F36"/>
    <w:rsid w:val="00606EC0"/>
    <w:rsid w:val="00607DB8"/>
    <w:rsid w:val="00610818"/>
    <w:rsid w:val="00611957"/>
    <w:rsid w:val="00611CA8"/>
    <w:rsid w:val="0061488D"/>
    <w:rsid w:val="006254AE"/>
    <w:rsid w:val="006306A5"/>
    <w:rsid w:val="00632B2A"/>
    <w:rsid w:val="00634A0B"/>
    <w:rsid w:val="00644190"/>
    <w:rsid w:val="006472CD"/>
    <w:rsid w:val="00651A1F"/>
    <w:rsid w:val="0065226E"/>
    <w:rsid w:val="00666080"/>
    <w:rsid w:val="00666235"/>
    <w:rsid w:val="00674CEC"/>
    <w:rsid w:val="0068639B"/>
    <w:rsid w:val="006906C2"/>
    <w:rsid w:val="00694826"/>
    <w:rsid w:val="0069684D"/>
    <w:rsid w:val="006B27E8"/>
    <w:rsid w:val="006B3C37"/>
    <w:rsid w:val="006C1CAD"/>
    <w:rsid w:val="006C365C"/>
    <w:rsid w:val="006C77A0"/>
    <w:rsid w:val="006D16F6"/>
    <w:rsid w:val="006D3AE6"/>
    <w:rsid w:val="006D6554"/>
    <w:rsid w:val="006D7510"/>
    <w:rsid w:val="006E048A"/>
    <w:rsid w:val="006E2AB3"/>
    <w:rsid w:val="006E2F94"/>
    <w:rsid w:val="006E35E0"/>
    <w:rsid w:val="006F18F0"/>
    <w:rsid w:val="006F258B"/>
    <w:rsid w:val="006F4AC3"/>
    <w:rsid w:val="006F5ECB"/>
    <w:rsid w:val="006F6219"/>
    <w:rsid w:val="00700239"/>
    <w:rsid w:val="00703D55"/>
    <w:rsid w:val="00707DD7"/>
    <w:rsid w:val="00710B1D"/>
    <w:rsid w:val="00711803"/>
    <w:rsid w:val="00717F6F"/>
    <w:rsid w:val="00723B55"/>
    <w:rsid w:val="00723EF6"/>
    <w:rsid w:val="00725598"/>
    <w:rsid w:val="00733172"/>
    <w:rsid w:val="007427C8"/>
    <w:rsid w:val="00743A39"/>
    <w:rsid w:val="00750CAC"/>
    <w:rsid w:val="00754D09"/>
    <w:rsid w:val="00755410"/>
    <w:rsid w:val="00755F55"/>
    <w:rsid w:val="00763B7F"/>
    <w:rsid w:val="00763EB5"/>
    <w:rsid w:val="0076512C"/>
    <w:rsid w:val="00766333"/>
    <w:rsid w:val="0077282B"/>
    <w:rsid w:val="007778CF"/>
    <w:rsid w:val="00780624"/>
    <w:rsid w:val="00783A18"/>
    <w:rsid w:val="00791DBF"/>
    <w:rsid w:val="00792CC2"/>
    <w:rsid w:val="00795A62"/>
    <w:rsid w:val="007A034E"/>
    <w:rsid w:val="007A176F"/>
    <w:rsid w:val="007A6CAA"/>
    <w:rsid w:val="007A6E08"/>
    <w:rsid w:val="007B0AC8"/>
    <w:rsid w:val="007B1511"/>
    <w:rsid w:val="007B22F6"/>
    <w:rsid w:val="007B3D4F"/>
    <w:rsid w:val="007B5472"/>
    <w:rsid w:val="007C26B0"/>
    <w:rsid w:val="007C4522"/>
    <w:rsid w:val="007C4C96"/>
    <w:rsid w:val="007C6C8D"/>
    <w:rsid w:val="007E3863"/>
    <w:rsid w:val="007E534D"/>
    <w:rsid w:val="007E6132"/>
    <w:rsid w:val="007E7D35"/>
    <w:rsid w:val="007F005C"/>
    <w:rsid w:val="007F4AF5"/>
    <w:rsid w:val="007F623C"/>
    <w:rsid w:val="00802182"/>
    <w:rsid w:val="00802C07"/>
    <w:rsid w:val="008032E6"/>
    <w:rsid w:val="0080658D"/>
    <w:rsid w:val="00812C45"/>
    <w:rsid w:val="00813A5F"/>
    <w:rsid w:val="00817611"/>
    <w:rsid w:val="008179BE"/>
    <w:rsid w:val="008200BA"/>
    <w:rsid w:val="0082289E"/>
    <w:rsid w:val="00823023"/>
    <w:rsid w:val="00825025"/>
    <w:rsid w:val="00825AC8"/>
    <w:rsid w:val="00827695"/>
    <w:rsid w:val="00831BB2"/>
    <w:rsid w:val="00831DF4"/>
    <w:rsid w:val="00834E34"/>
    <w:rsid w:val="00837953"/>
    <w:rsid w:val="00841056"/>
    <w:rsid w:val="00842C54"/>
    <w:rsid w:val="008528F6"/>
    <w:rsid w:val="00855F85"/>
    <w:rsid w:val="008565C5"/>
    <w:rsid w:val="00862AF2"/>
    <w:rsid w:val="00863B62"/>
    <w:rsid w:val="00875067"/>
    <w:rsid w:val="00876B59"/>
    <w:rsid w:val="00880E09"/>
    <w:rsid w:val="00886DEE"/>
    <w:rsid w:val="008A21BC"/>
    <w:rsid w:val="008A480D"/>
    <w:rsid w:val="008A4FBC"/>
    <w:rsid w:val="008A7156"/>
    <w:rsid w:val="008B14A4"/>
    <w:rsid w:val="008B29E7"/>
    <w:rsid w:val="008C0454"/>
    <w:rsid w:val="008C5B12"/>
    <w:rsid w:val="008D47F8"/>
    <w:rsid w:val="008D5BE8"/>
    <w:rsid w:val="008E4728"/>
    <w:rsid w:val="008E5025"/>
    <w:rsid w:val="008E6921"/>
    <w:rsid w:val="008F3894"/>
    <w:rsid w:val="008F5B13"/>
    <w:rsid w:val="00900B5A"/>
    <w:rsid w:val="00902002"/>
    <w:rsid w:val="00904075"/>
    <w:rsid w:val="0090773A"/>
    <w:rsid w:val="00913ED4"/>
    <w:rsid w:val="0091621A"/>
    <w:rsid w:val="009166BA"/>
    <w:rsid w:val="00916E07"/>
    <w:rsid w:val="00917155"/>
    <w:rsid w:val="00921F2A"/>
    <w:rsid w:val="009340FB"/>
    <w:rsid w:val="00934CDC"/>
    <w:rsid w:val="0093617A"/>
    <w:rsid w:val="00937687"/>
    <w:rsid w:val="00944CF1"/>
    <w:rsid w:val="0096386F"/>
    <w:rsid w:val="009802FC"/>
    <w:rsid w:val="009851D6"/>
    <w:rsid w:val="00986B01"/>
    <w:rsid w:val="009876CE"/>
    <w:rsid w:val="009915D8"/>
    <w:rsid w:val="009B41B1"/>
    <w:rsid w:val="009B4DE5"/>
    <w:rsid w:val="009C047A"/>
    <w:rsid w:val="009C697E"/>
    <w:rsid w:val="009E1E0B"/>
    <w:rsid w:val="009E2D3A"/>
    <w:rsid w:val="009E3BC2"/>
    <w:rsid w:val="009E4870"/>
    <w:rsid w:val="009E4993"/>
    <w:rsid w:val="009E730C"/>
    <w:rsid w:val="009E7748"/>
    <w:rsid w:val="009F0A54"/>
    <w:rsid w:val="009F4661"/>
    <w:rsid w:val="009F4667"/>
    <w:rsid w:val="009F5D11"/>
    <w:rsid w:val="00A11DC4"/>
    <w:rsid w:val="00A120E3"/>
    <w:rsid w:val="00A16539"/>
    <w:rsid w:val="00A171F2"/>
    <w:rsid w:val="00A173CA"/>
    <w:rsid w:val="00A17E88"/>
    <w:rsid w:val="00A2113B"/>
    <w:rsid w:val="00A25578"/>
    <w:rsid w:val="00A259B1"/>
    <w:rsid w:val="00A2714F"/>
    <w:rsid w:val="00A312D0"/>
    <w:rsid w:val="00A33ACC"/>
    <w:rsid w:val="00A33CFD"/>
    <w:rsid w:val="00A3642C"/>
    <w:rsid w:val="00A4032A"/>
    <w:rsid w:val="00A449D3"/>
    <w:rsid w:val="00A51985"/>
    <w:rsid w:val="00A5344B"/>
    <w:rsid w:val="00A708F4"/>
    <w:rsid w:val="00A7284D"/>
    <w:rsid w:val="00A729BD"/>
    <w:rsid w:val="00A73CBF"/>
    <w:rsid w:val="00A74DF8"/>
    <w:rsid w:val="00A830E6"/>
    <w:rsid w:val="00A8405B"/>
    <w:rsid w:val="00A8503D"/>
    <w:rsid w:val="00A86EF5"/>
    <w:rsid w:val="00A96C09"/>
    <w:rsid w:val="00AA0D65"/>
    <w:rsid w:val="00AA0F5E"/>
    <w:rsid w:val="00AB11B2"/>
    <w:rsid w:val="00AB456F"/>
    <w:rsid w:val="00AB45E7"/>
    <w:rsid w:val="00AB481D"/>
    <w:rsid w:val="00AB61FF"/>
    <w:rsid w:val="00AC1B10"/>
    <w:rsid w:val="00AC63D7"/>
    <w:rsid w:val="00AC7D75"/>
    <w:rsid w:val="00AD27D2"/>
    <w:rsid w:val="00AD3333"/>
    <w:rsid w:val="00AD3D25"/>
    <w:rsid w:val="00AD4ABE"/>
    <w:rsid w:val="00AD4CA5"/>
    <w:rsid w:val="00AD63FE"/>
    <w:rsid w:val="00AE41D9"/>
    <w:rsid w:val="00AE544D"/>
    <w:rsid w:val="00AE6141"/>
    <w:rsid w:val="00AF6B62"/>
    <w:rsid w:val="00AF6DF1"/>
    <w:rsid w:val="00B04A93"/>
    <w:rsid w:val="00B04C3F"/>
    <w:rsid w:val="00B04EFE"/>
    <w:rsid w:val="00B0766B"/>
    <w:rsid w:val="00B13C93"/>
    <w:rsid w:val="00B165A5"/>
    <w:rsid w:val="00B2262E"/>
    <w:rsid w:val="00B278B0"/>
    <w:rsid w:val="00B30740"/>
    <w:rsid w:val="00B30BA8"/>
    <w:rsid w:val="00B32D72"/>
    <w:rsid w:val="00B34B2D"/>
    <w:rsid w:val="00B5282E"/>
    <w:rsid w:val="00B566D5"/>
    <w:rsid w:val="00B6016B"/>
    <w:rsid w:val="00B6111C"/>
    <w:rsid w:val="00B6359D"/>
    <w:rsid w:val="00B64F94"/>
    <w:rsid w:val="00B714B4"/>
    <w:rsid w:val="00B737DD"/>
    <w:rsid w:val="00B7446F"/>
    <w:rsid w:val="00B828C6"/>
    <w:rsid w:val="00B83CC5"/>
    <w:rsid w:val="00B84747"/>
    <w:rsid w:val="00B84837"/>
    <w:rsid w:val="00B93041"/>
    <w:rsid w:val="00B9627C"/>
    <w:rsid w:val="00BA156D"/>
    <w:rsid w:val="00BA1746"/>
    <w:rsid w:val="00BA324E"/>
    <w:rsid w:val="00BA676E"/>
    <w:rsid w:val="00BA68BB"/>
    <w:rsid w:val="00BA68CA"/>
    <w:rsid w:val="00BB28B2"/>
    <w:rsid w:val="00BB4325"/>
    <w:rsid w:val="00BB59E5"/>
    <w:rsid w:val="00BC4204"/>
    <w:rsid w:val="00BC6023"/>
    <w:rsid w:val="00BD0A8D"/>
    <w:rsid w:val="00BD2D3F"/>
    <w:rsid w:val="00BD3420"/>
    <w:rsid w:val="00BD39D9"/>
    <w:rsid w:val="00BD5EE7"/>
    <w:rsid w:val="00BE2038"/>
    <w:rsid w:val="00BE32BE"/>
    <w:rsid w:val="00BE6325"/>
    <w:rsid w:val="00BF23A3"/>
    <w:rsid w:val="00BF4636"/>
    <w:rsid w:val="00BF62CF"/>
    <w:rsid w:val="00C0277C"/>
    <w:rsid w:val="00C03F89"/>
    <w:rsid w:val="00C16515"/>
    <w:rsid w:val="00C2158D"/>
    <w:rsid w:val="00C254BE"/>
    <w:rsid w:val="00C3139D"/>
    <w:rsid w:val="00C31977"/>
    <w:rsid w:val="00C3719D"/>
    <w:rsid w:val="00C421D7"/>
    <w:rsid w:val="00C45F1F"/>
    <w:rsid w:val="00C47BBA"/>
    <w:rsid w:val="00C51726"/>
    <w:rsid w:val="00C530E7"/>
    <w:rsid w:val="00C540A7"/>
    <w:rsid w:val="00C56A34"/>
    <w:rsid w:val="00C61F84"/>
    <w:rsid w:val="00C62B0D"/>
    <w:rsid w:val="00C653B9"/>
    <w:rsid w:val="00C66C30"/>
    <w:rsid w:val="00C70637"/>
    <w:rsid w:val="00C708BB"/>
    <w:rsid w:val="00C822B1"/>
    <w:rsid w:val="00C938EE"/>
    <w:rsid w:val="00CA0AE3"/>
    <w:rsid w:val="00CA1B4E"/>
    <w:rsid w:val="00CA264D"/>
    <w:rsid w:val="00CA3BC4"/>
    <w:rsid w:val="00CA417D"/>
    <w:rsid w:val="00CA6B52"/>
    <w:rsid w:val="00CC4888"/>
    <w:rsid w:val="00CD0332"/>
    <w:rsid w:val="00CD1CE2"/>
    <w:rsid w:val="00CD3144"/>
    <w:rsid w:val="00CD748E"/>
    <w:rsid w:val="00CE1727"/>
    <w:rsid w:val="00CE338A"/>
    <w:rsid w:val="00CE489C"/>
    <w:rsid w:val="00CF050B"/>
    <w:rsid w:val="00CF0C62"/>
    <w:rsid w:val="00D04044"/>
    <w:rsid w:val="00D0426A"/>
    <w:rsid w:val="00D048D9"/>
    <w:rsid w:val="00D07AEA"/>
    <w:rsid w:val="00D12449"/>
    <w:rsid w:val="00D126D6"/>
    <w:rsid w:val="00D172AC"/>
    <w:rsid w:val="00D17E7E"/>
    <w:rsid w:val="00D23916"/>
    <w:rsid w:val="00D26231"/>
    <w:rsid w:val="00D308DB"/>
    <w:rsid w:val="00D30E9F"/>
    <w:rsid w:val="00D44F82"/>
    <w:rsid w:val="00D47685"/>
    <w:rsid w:val="00D47920"/>
    <w:rsid w:val="00D54C6B"/>
    <w:rsid w:val="00D56DD1"/>
    <w:rsid w:val="00D60233"/>
    <w:rsid w:val="00D6085E"/>
    <w:rsid w:val="00D65D76"/>
    <w:rsid w:val="00D71687"/>
    <w:rsid w:val="00D82A96"/>
    <w:rsid w:val="00D8322A"/>
    <w:rsid w:val="00D84B35"/>
    <w:rsid w:val="00D8633B"/>
    <w:rsid w:val="00D8732B"/>
    <w:rsid w:val="00D92560"/>
    <w:rsid w:val="00D9498E"/>
    <w:rsid w:val="00D950A7"/>
    <w:rsid w:val="00D968B9"/>
    <w:rsid w:val="00DA2581"/>
    <w:rsid w:val="00DA27BA"/>
    <w:rsid w:val="00DA4793"/>
    <w:rsid w:val="00DA6DA0"/>
    <w:rsid w:val="00DA7D53"/>
    <w:rsid w:val="00DB0FD3"/>
    <w:rsid w:val="00DC1F14"/>
    <w:rsid w:val="00DC641E"/>
    <w:rsid w:val="00DD0DC6"/>
    <w:rsid w:val="00DD466A"/>
    <w:rsid w:val="00DD4AB1"/>
    <w:rsid w:val="00DD54E2"/>
    <w:rsid w:val="00DD56E2"/>
    <w:rsid w:val="00DE0A78"/>
    <w:rsid w:val="00DE51D0"/>
    <w:rsid w:val="00DE542C"/>
    <w:rsid w:val="00DE690E"/>
    <w:rsid w:val="00DE6CAB"/>
    <w:rsid w:val="00DE7F23"/>
    <w:rsid w:val="00DF0131"/>
    <w:rsid w:val="00DF1031"/>
    <w:rsid w:val="00DF4B2D"/>
    <w:rsid w:val="00DF7D72"/>
    <w:rsid w:val="00E01F39"/>
    <w:rsid w:val="00E07AF5"/>
    <w:rsid w:val="00E10959"/>
    <w:rsid w:val="00E122B4"/>
    <w:rsid w:val="00E14A87"/>
    <w:rsid w:val="00E16593"/>
    <w:rsid w:val="00E21683"/>
    <w:rsid w:val="00E21962"/>
    <w:rsid w:val="00E32511"/>
    <w:rsid w:val="00E3297A"/>
    <w:rsid w:val="00E32E0F"/>
    <w:rsid w:val="00E34C3B"/>
    <w:rsid w:val="00E40CD8"/>
    <w:rsid w:val="00E4149F"/>
    <w:rsid w:val="00E45844"/>
    <w:rsid w:val="00E510D0"/>
    <w:rsid w:val="00E549CF"/>
    <w:rsid w:val="00E5623C"/>
    <w:rsid w:val="00E65615"/>
    <w:rsid w:val="00E711E0"/>
    <w:rsid w:val="00E713AA"/>
    <w:rsid w:val="00E75A27"/>
    <w:rsid w:val="00E818D4"/>
    <w:rsid w:val="00E81970"/>
    <w:rsid w:val="00E830F8"/>
    <w:rsid w:val="00E84A2B"/>
    <w:rsid w:val="00E84CD5"/>
    <w:rsid w:val="00E85388"/>
    <w:rsid w:val="00E90A75"/>
    <w:rsid w:val="00EB1407"/>
    <w:rsid w:val="00EC4FCE"/>
    <w:rsid w:val="00EC6982"/>
    <w:rsid w:val="00ED0067"/>
    <w:rsid w:val="00ED73E0"/>
    <w:rsid w:val="00EE0A7B"/>
    <w:rsid w:val="00EE4553"/>
    <w:rsid w:val="00EE5794"/>
    <w:rsid w:val="00EF6C81"/>
    <w:rsid w:val="00F02027"/>
    <w:rsid w:val="00F02B5D"/>
    <w:rsid w:val="00F05B7D"/>
    <w:rsid w:val="00F07115"/>
    <w:rsid w:val="00F127E1"/>
    <w:rsid w:val="00F1447A"/>
    <w:rsid w:val="00F15356"/>
    <w:rsid w:val="00F202F7"/>
    <w:rsid w:val="00F250C5"/>
    <w:rsid w:val="00F37BBF"/>
    <w:rsid w:val="00F409BA"/>
    <w:rsid w:val="00F41FCC"/>
    <w:rsid w:val="00F441A9"/>
    <w:rsid w:val="00F5197F"/>
    <w:rsid w:val="00F5582A"/>
    <w:rsid w:val="00F5636F"/>
    <w:rsid w:val="00F61537"/>
    <w:rsid w:val="00F61D64"/>
    <w:rsid w:val="00F6520C"/>
    <w:rsid w:val="00F65726"/>
    <w:rsid w:val="00F66948"/>
    <w:rsid w:val="00F74275"/>
    <w:rsid w:val="00F752AE"/>
    <w:rsid w:val="00F7614C"/>
    <w:rsid w:val="00F76DAC"/>
    <w:rsid w:val="00F80DE0"/>
    <w:rsid w:val="00F91FC1"/>
    <w:rsid w:val="00F93FA7"/>
    <w:rsid w:val="00F94144"/>
    <w:rsid w:val="00F97500"/>
    <w:rsid w:val="00FA07B7"/>
    <w:rsid w:val="00FA34E3"/>
    <w:rsid w:val="00FB066C"/>
    <w:rsid w:val="00FB60C0"/>
    <w:rsid w:val="00FB7E3A"/>
    <w:rsid w:val="00FC19B7"/>
    <w:rsid w:val="00FC5638"/>
    <w:rsid w:val="00FD225F"/>
    <w:rsid w:val="00FD57E2"/>
    <w:rsid w:val="00FD6718"/>
    <w:rsid w:val="00FE2131"/>
    <w:rsid w:val="00FE3DBC"/>
    <w:rsid w:val="00FE7CF6"/>
    <w:rsid w:val="00FF0020"/>
    <w:rsid w:val="00FF02A8"/>
    <w:rsid w:val="00FF568A"/>
    <w:rsid w:val="00FF60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CB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2C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A7"/>
    <w:rPr>
      <w:rFonts w:ascii="Lucida Grande" w:eastAsiaTheme="minorEastAsia" w:hAnsi="Lucida Grande" w:cs="Lucida Grande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93F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A7"/>
    <w:rPr>
      <w:rFonts w:eastAsiaTheme="minorEastAsia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A7"/>
    <w:rPr>
      <w:rFonts w:eastAsiaTheme="minorEastAsia"/>
      <w:b/>
      <w:bC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9C04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5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1547B"/>
  </w:style>
  <w:style w:type="character" w:customStyle="1" w:styleId="FootnoteTextChar">
    <w:name w:val="Footnote Text Char"/>
    <w:basedOn w:val="DefaultParagraphFont"/>
    <w:link w:val="FootnoteText"/>
    <w:uiPriority w:val="99"/>
    <w:rsid w:val="0001547B"/>
    <w:rPr>
      <w:rFonts w:eastAsiaTheme="minorEastAsia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015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idh.org/en/region/asia/thailand/un-body-slams-ongoing-violations-of-civil-and-political-rights" TargetMode="External"/><Relationship Id="rId12" Type="http://schemas.openxmlformats.org/officeDocument/2006/relationships/hyperlink" Target="https://www.fidh.org/en/region/asia/thailand/failing-grade-urged-over-key-human-rights-issu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s://www.fidh.org/IMG/pdf/20200423_thailand_iccpr_follow-up_bp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7CF7F-3964-5042-967A-D14BFD24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</cp:revision>
  <dcterms:created xsi:type="dcterms:W3CDTF">2020-04-23T14:31:00Z</dcterms:created>
  <dcterms:modified xsi:type="dcterms:W3CDTF">2020-04-26T09:33:00Z</dcterms:modified>
</cp:coreProperties>
</file>